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686BA" w14:textId="77777777" w:rsidR="00B84A52" w:rsidRDefault="00C02984">
      <w:pPr>
        <w:jc w:val="both"/>
        <w:rPr>
          <w:rFonts w:eastAsiaTheme="minorEastAsia"/>
          <w:b/>
          <w:color w:val="FF0000"/>
          <w:kern w:val="2"/>
          <w:sz w:val="22"/>
          <w:lang w:val="en-US" w:eastAsia="zh-CN"/>
          <w14:ligatures w14:val="standardContextual"/>
        </w:rPr>
      </w:pPr>
      <w:bookmarkStart w:id="0" w:name="_Hlk197420600"/>
      <w:bookmarkEnd w:id="0"/>
      <w:r>
        <w:rPr>
          <w:rFonts w:eastAsia="宋体"/>
          <w:b/>
          <w:sz w:val="24"/>
          <w:lang w:val="en-US" w:eastAsia="ko-KR"/>
        </w:rPr>
        <w:t>3GPP TSG RAN WG1 Meeting #12</w:t>
      </w:r>
      <w:r>
        <w:rPr>
          <w:rFonts w:eastAsia="宋体"/>
          <w:b/>
          <w:sz w:val="24"/>
          <w:lang w:val="en-US" w:eastAsia="zh-CN"/>
        </w:rPr>
        <w:t>2bis</w:t>
      </w:r>
      <w:r>
        <w:rPr>
          <w:rFonts w:eastAsiaTheme="minorEastAsia"/>
          <w:b/>
          <w:kern w:val="2"/>
          <w:sz w:val="22"/>
          <w:lang w:val="en-US" w:eastAsia="ko-KR"/>
          <w14:ligatures w14:val="standardContextual"/>
        </w:rPr>
        <w:tab/>
      </w:r>
      <w:r>
        <w:rPr>
          <w:rFonts w:eastAsiaTheme="minorEastAsia"/>
          <w:b/>
          <w:kern w:val="2"/>
          <w:sz w:val="22"/>
          <w:lang w:val="en-US" w:eastAsia="ko-KR"/>
          <w14:ligatures w14:val="standardContextual"/>
        </w:rPr>
        <w:tab/>
      </w:r>
      <w:r>
        <w:rPr>
          <w:rFonts w:eastAsiaTheme="minorEastAsia"/>
          <w:b/>
          <w:kern w:val="2"/>
          <w:sz w:val="22"/>
          <w:lang w:val="en-US" w:eastAsia="ko-KR"/>
          <w14:ligatures w14:val="standardContextual"/>
        </w:rPr>
        <w:tab/>
      </w:r>
      <w:r>
        <w:rPr>
          <w:rFonts w:eastAsiaTheme="minorEastAsia"/>
          <w:b/>
          <w:kern w:val="2"/>
          <w:sz w:val="22"/>
          <w:lang w:val="en-US" w:eastAsia="ko-KR"/>
          <w14:ligatures w14:val="standardContextual"/>
        </w:rPr>
        <w:tab/>
      </w:r>
      <w:r>
        <w:rPr>
          <w:rFonts w:eastAsiaTheme="minorEastAsia"/>
          <w:b/>
          <w:kern w:val="2"/>
          <w:sz w:val="22"/>
          <w:lang w:val="en-US" w:eastAsia="ko-KR"/>
          <w14:ligatures w14:val="standardContextual"/>
        </w:rPr>
        <w:tab/>
      </w:r>
      <w:r>
        <w:rPr>
          <w:rFonts w:eastAsiaTheme="minorEastAsia"/>
          <w:b/>
          <w:kern w:val="2"/>
          <w:sz w:val="22"/>
          <w:lang w:val="en-US" w:eastAsia="zh-CN"/>
          <w14:ligatures w14:val="standardContextual"/>
        </w:rPr>
        <w:tab/>
      </w:r>
      <w:r>
        <w:rPr>
          <w:rFonts w:eastAsiaTheme="minorEastAsia"/>
          <w:b/>
          <w:kern w:val="2"/>
          <w:sz w:val="22"/>
          <w:lang w:val="en-US" w:eastAsia="zh-CN"/>
          <w14:ligatures w14:val="standardContextual"/>
        </w:rPr>
        <w:tab/>
      </w:r>
      <w:r>
        <w:rPr>
          <w:rFonts w:eastAsiaTheme="minorEastAsia"/>
          <w:b/>
          <w:kern w:val="2"/>
          <w:sz w:val="22"/>
          <w:lang w:val="en-US" w:eastAsia="zh-CN"/>
          <w14:ligatures w14:val="standardContextual"/>
        </w:rPr>
        <w:tab/>
      </w:r>
      <w:r>
        <w:rPr>
          <w:rFonts w:eastAsia="宋体"/>
          <w:b/>
          <w:sz w:val="24"/>
          <w:lang w:val="en-US" w:eastAsia="zh-CN"/>
        </w:rPr>
        <w:tab/>
      </w:r>
      <w:r>
        <w:rPr>
          <w:rFonts w:eastAsia="宋体"/>
          <w:b/>
          <w:sz w:val="24"/>
          <w:lang w:val="en-US" w:eastAsia="ko-KR"/>
        </w:rPr>
        <w:t>R1-2507779</w:t>
      </w:r>
    </w:p>
    <w:p w14:paraId="7F5B53B3" w14:textId="77777777" w:rsidR="00B84A52" w:rsidRDefault="00C02984">
      <w:pPr>
        <w:spacing w:after="0"/>
        <w:ind w:left="1983" w:hangingChars="823" w:hanging="1983"/>
        <w:jc w:val="both"/>
        <w:rPr>
          <w:rFonts w:eastAsia="宋体"/>
          <w:b/>
          <w:sz w:val="24"/>
          <w:lang w:val="en-US"/>
        </w:rPr>
      </w:pPr>
      <w:r>
        <w:rPr>
          <w:rFonts w:eastAsia="宋体"/>
          <w:b/>
          <w:sz w:val="24"/>
        </w:rPr>
        <w:t>Prague, Czech, Oct 13th – 17th, 2025</w:t>
      </w:r>
    </w:p>
    <w:p w14:paraId="6DA6FAD4" w14:textId="77777777" w:rsidR="00B84A52" w:rsidRDefault="00B84A52">
      <w:pPr>
        <w:rPr>
          <w:b/>
          <w:sz w:val="24"/>
          <w:szCs w:val="24"/>
          <w:highlight w:val="yellow"/>
        </w:rPr>
      </w:pPr>
    </w:p>
    <w:p w14:paraId="39F17A25" w14:textId="77777777" w:rsidR="00B84A52" w:rsidRDefault="00C02984">
      <w:pPr>
        <w:spacing w:after="0"/>
        <w:ind w:left="1983" w:hangingChars="823" w:hanging="1983"/>
        <w:jc w:val="both"/>
        <w:rPr>
          <w:rFonts w:eastAsia="宋体"/>
          <w:b/>
          <w:sz w:val="24"/>
        </w:rPr>
      </w:pPr>
      <w:r>
        <w:rPr>
          <w:rFonts w:eastAsia="宋体"/>
          <w:b/>
          <w:sz w:val="24"/>
        </w:rPr>
        <w:t>Agenda item:</w:t>
      </w:r>
      <w:r>
        <w:rPr>
          <w:rFonts w:eastAsia="宋体"/>
          <w:b/>
          <w:sz w:val="24"/>
        </w:rPr>
        <w:tab/>
        <w:t>11.6</w:t>
      </w:r>
    </w:p>
    <w:p w14:paraId="7FE7C344" w14:textId="77777777" w:rsidR="00B84A52" w:rsidRDefault="00C02984">
      <w:pPr>
        <w:spacing w:after="0"/>
        <w:ind w:left="1983" w:hangingChars="823" w:hanging="1983"/>
        <w:jc w:val="both"/>
        <w:rPr>
          <w:rFonts w:eastAsia="宋体"/>
          <w:b/>
          <w:sz w:val="24"/>
          <w:lang w:val="en-US" w:eastAsia="zh-CN"/>
        </w:rPr>
      </w:pPr>
      <w:r>
        <w:rPr>
          <w:rFonts w:eastAsia="宋体"/>
          <w:b/>
          <w:sz w:val="24"/>
        </w:rPr>
        <w:t xml:space="preserve">Source: </w:t>
      </w:r>
      <w:r>
        <w:rPr>
          <w:rFonts w:eastAsia="宋体"/>
          <w:b/>
          <w:sz w:val="24"/>
        </w:rPr>
        <w:tab/>
      </w:r>
      <w:r>
        <w:rPr>
          <w:rFonts w:eastAsia="宋体"/>
          <w:b/>
          <w:sz w:val="24"/>
          <w:lang w:eastAsia="zh-CN"/>
        </w:rPr>
        <w:t>Shanghai Jiao Tong University</w:t>
      </w:r>
      <w:r>
        <w:rPr>
          <w:rFonts w:eastAsia="宋体"/>
          <w:b/>
          <w:sz w:val="24"/>
          <w:lang w:val="en-US" w:eastAsia="zh-CN"/>
        </w:rPr>
        <w:t>, Toyota</w:t>
      </w:r>
    </w:p>
    <w:p w14:paraId="793B0222" w14:textId="77777777" w:rsidR="00B84A52" w:rsidRDefault="00C02984">
      <w:pPr>
        <w:spacing w:after="0"/>
        <w:ind w:left="1983" w:hangingChars="823" w:hanging="1983"/>
        <w:jc w:val="both"/>
        <w:rPr>
          <w:rFonts w:eastAsia="宋体"/>
          <w:b/>
          <w:sz w:val="24"/>
        </w:rPr>
      </w:pPr>
      <w:r>
        <w:rPr>
          <w:rFonts w:eastAsia="宋体"/>
          <w:b/>
          <w:sz w:val="24"/>
        </w:rPr>
        <w:t>Title:</w:t>
      </w:r>
      <w:r>
        <w:rPr>
          <w:rFonts w:eastAsia="宋体"/>
          <w:b/>
          <w:sz w:val="24"/>
        </w:rPr>
        <w:tab/>
      </w:r>
      <w:r>
        <w:rPr>
          <w:rFonts w:eastAsia="宋体"/>
          <w:b/>
          <w:sz w:val="24"/>
          <w:lang w:eastAsia="zh-CN"/>
        </w:rPr>
        <w:t xml:space="preserve">Discussion on AI/ML in 6GR </w:t>
      </w:r>
    </w:p>
    <w:p w14:paraId="67CDCB0F" w14:textId="77777777" w:rsidR="00B84A52" w:rsidRDefault="00C02984">
      <w:pPr>
        <w:spacing w:after="0"/>
        <w:ind w:left="1983" w:hangingChars="823" w:hanging="1983"/>
        <w:jc w:val="both"/>
        <w:rPr>
          <w:rFonts w:eastAsia="宋体"/>
          <w:b/>
          <w:sz w:val="24"/>
          <w:lang w:val="en-US" w:eastAsia="zh-CN"/>
        </w:rPr>
      </w:pPr>
      <w:r>
        <w:rPr>
          <w:rFonts w:eastAsia="宋体"/>
          <w:b/>
          <w:sz w:val="24"/>
        </w:rPr>
        <w:t>Document for:</w:t>
      </w:r>
      <w:r>
        <w:rPr>
          <w:rFonts w:eastAsia="宋体"/>
          <w:b/>
          <w:sz w:val="24"/>
        </w:rPr>
        <w:tab/>
        <w:t>D</w:t>
      </w:r>
      <w:proofErr w:type="spellStart"/>
      <w:r>
        <w:rPr>
          <w:rFonts w:eastAsia="宋体" w:hint="eastAsia"/>
          <w:b/>
          <w:sz w:val="24"/>
          <w:lang w:val="en-US" w:eastAsia="zh-CN"/>
        </w:rPr>
        <w:t>ecision</w:t>
      </w:r>
      <w:proofErr w:type="spellEnd"/>
    </w:p>
    <w:p w14:paraId="5CF3F044" w14:textId="77777777" w:rsidR="00B84A52" w:rsidRDefault="00C02984">
      <w:pPr>
        <w:pStyle w:val="1"/>
        <w:numPr>
          <w:ilvl w:val="0"/>
          <w:numId w:val="1"/>
        </w:numPr>
      </w:pPr>
      <w:r>
        <w:t>Introduction</w:t>
      </w:r>
    </w:p>
    <w:p w14:paraId="1555372C" w14:textId="77777777" w:rsidR="00B84A52" w:rsidRDefault="00C02984">
      <w:pPr>
        <w:pStyle w:val="ae"/>
        <w:spacing w:beforeAutospacing="1" w:after="0" w:afterAutospacing="1"/>
        <w:rPr>
          <w:sz w:val="20"/>
          <w:szCs w:val="20"/>
        </w:rPr>
      </w:pPr>
      <w:r>
        <w:rPr>
          <w:sz w:val="20"/>
          <w:szCs w:val="20"/>
        </w:rPr>
        <w:t xml:space="preserve">Research on applying </w:t>
      </w:r>
      <w:r>
        <w:rPr>
          <w:sz w:val="20"/>
          <w:szCs w:val="20"/>
        </w:rPr>
        <w:t>Artificial Intelligence (AI) and Machine Learning (ML) to the air interface was first initiated in 3GPP Release 18. Early investigations into use cases such as beam management, channel state information (CSI) prediction and compression, as well as position</w:t>
      </w:r>
      <w:r>
        <w:rPr>
          <w:sz w:val="20"/>
          <w:szCs w:val="20"/>
        </w:rPr>
        <w:t>ing, have demonstrated that AI/ML-based approaches can outperform traditional non-AI techniques. Building on these results, AI/ML is envisioned to be a key enabler in 6G, providing new means to cope with fundamental system challenges while improving spectr</w:t>
      </w:r>
      <w:r>
        <w:rPr>
          <w:sz w:val="20"/>
          <w:szCs w:val="20"/>
        </w:rPr>
        <w:t>um utilization, energy efficiency, and other essential performance metrics. In line with this vision, RAN#108 [1] approved a new study item on 6G Radio, which sets out detailed objectives for the role of AI/ML in future system design.</w:t>
      </w:r>
    </w:p>
    <w:tbl>
      <w:tblPr>
        <w:tblStyle w:val="af1"/>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84A52" w14:paraId="2B1C5CA0" w14:textId="77777777">
        <w:tc>
          <w:tcPr>
            <w:tcW w:w="9072" w:type="dxa"/>
          </w:tcPr>
          <w:p w14:paraId="01325DFE" w14:textId="77777777" w:rsidR="00B84A52" w:rsidRDefault="00C02984">
            <w:pPr>
              <w:spacing w:after="120"/>
              <w:ind w:left="360"/>
              <w:contextualSpacing/>
              <w:rPr>
                <w:rFonts w:ascii="CG Times (WN)" w:hAnsi="CG Times (WN)"/>
                <w:color w:val="000000" w:themeColor="text1"/>
              </w:rPr>
            </w:pPr>
            <w:r>
              <w:rPr>
                <w:rFonts w:ascii="CG Times (WN)" w:eastAsiaTheme="minorEastAsia" w:hAnsi="CG Times (WN)" w:hint="eastAsia"/>
                <w:color w:val="000000" w:themeColor="text1"/>
                <w:lang w:eastAsia="zh-CN"/>
              </w:rPr>
              <w:t xml:space="preserve">(8) </w:t>
            </w:r>
            <w:r>
              <w:rPr>
                <w:rFonts w:ascii="CG Times (WN)" w:hAnsi="CG Times (WN)"/>
                <w:color w:val="000000" w:themeColor="text1"/>
              </w:rPr>
              <w:t xml:space="preserve">AI/ML for 6GR </w:t>
            </w:r>
            <w:r>
              <w:rPr>
                <w:rFonts w:ascii="CG Times (WN)" w:hAnsi="CG Times (WN)"/>
                <w:color w:val="000000" w:themeColor="text1"/>
              </w:rPr>
              <w:t>and Radio Access Network, leveraging 5G AI/ML framework, as appropriate [See TR38.843] [RAN1, RAN2, RAN3, RAN4]</w:t>
            </w:r>
          </w:p>
          <w:p w14:paraId="044C85EF" w14:textId="77777777" w:rsidR="00B84A52" w:rsidRDefault="00C02984">
            <w:pPr>
              <w:pStyle w:val="af5"/>
              <w:numPr>
                <w:ilvl w:val="0"/>
                <w:numId w:val="2"/>
              </w:numPr>
              <w:spacing w:after="120"/>
              <w:rPr>
                <w:rFonts w:ascii="CG Times (WN)" w:hAnsi="CG Times (WN)"/>
                <w:color w:val="000000" w:themeColor="text1"/>
              </w:rPr>
            </w:pPr>
            <w:r>
              <w:rPr>
                <w:rFonts w:ascii="CG Times (WN)" w:hAnsi="CG Times (WN)"/>
                <w:color w:val="000000" w:themeColor="text1"/>
              </w:rPr>
              <w:t xml:space="preserve">Identify Use Case(s) of interest (either existing or new) with compelling trade-off between e.g., performance, complexity, etc… </w:t>
            </w:r>
            <w:r>
              <w:rPr>
                <w:rFonts w:ascii="CG Times (WN)" w:hAnsi="CG Times (WN)"/>
                <w:color w:val="000000" w:themeColor="text1"/>
              </w:rPr>
              <w:br/>
              <w:t>Coordinated dis</w:t>
            </w:r>
            <w:r>
              <w:rPr>
                <w:rFonts w:ascii="CG Times (WN)" w:hAnsi="CG Times (WN)"/>
                <w:color w:val="000000" w:themeColor="text1"/>
              </w:rPr>
              <w:t>cussion needs to be ensured with related design areas, where needed (e.g., MIMO, Mobility, etc…)</w:t>
            </w:r>
          </w:p>
          <w:p w14:paraId="06BADF32" w14:textId="77777777" w:rsidR="00B84A52" w:rsidRDefault="00C02984">
            <w:pPr>
              <w:spacing w:after="120"/>
              <w:ind w:left="720" w:firstLine="720"/>
              <w:rPr>
                <w:rFonts w:ascii="CG Times (WN)" w:hAnsi="CG Times (WN)"/>
                <w:color w:val="000000" w:themeColor="text1"/>
              </w:rPr>
            </w:pPr>
            <w:r>
              <w:rPr>
                <w:rFonts w:ascii="CG Times (WN)" w:hAnsi="CG Times (WN)"/>
                <w:color w:val="000000" w:themeColor="text1"/>
              </w:rPr>
              <w:t>NOTE: lead WG depends on the use case.</w:t>
            </w:r>
          </w:p>
          <w:p w14:paraId="4A113712" w14:textId="77777777" w:rsidR="00B84A52" w:rsidRDefault="00C02984">
            <w:pPr>
              <w:pStyle w:val="af5"/>
              <w:numPr>
                <w:ilvl w:val="0"/>
                <w:numId w:val="2"/>
              </w:numPr>
              <w:spacing w:after="120"/>
              <w:rPr>
                <w:rFonts w:ascii="CG Times (WN)" w:hAnsi="CG Times (WN)"/>
                <w:color w:val="000000" w:themeColor="text1"/>
              </w:rPr>
            </w:pPr>
            <w:r>
              <w:rPr>
                <w:rFonts w:ascii="CG Times (WN)" w:hAnsi="CG Times (WN)"/>
                <w:color w:val="000000" w:themeColor="text1"/>
              </w:rPr>
              <w:t>AI/ML framework: Extensible AI/ML enablers based on the identified Use Case(s), including</w:t>
            </w:r>
          </w:p>
          <w:p w14:paraId="117A8710" w14:textId="77777777" w:rsidR="00B84A52" w:rsidRDefault="00C02984">
            <w:pPr>
              <w:pStyle w:val="af5"/>
              <w:numPr>
                <w:ilvl w:val="1"/>
                <w:numId w:val="3"/>
              </w:numPr>
              <w:spacing w:after="120"/>
              <w:ind w:left="1985" w:hanging="185"/>
              <w:rPr>
                <w:rFonts w:ascii="CG Times (WN)" w:hAnsi="CG Times (WN)"/>
                <w:color w:val="000000" w:themeColor="text1"/>
              </w:rPr>
            </w:pPr>
            <w:r>
              <w:rPr>
                <w:rFonts w:ascii="CG Times (WN)" w:hAnsi="CG Times (WN)"/>
                <w:color w:val="000000" w:themeColor="text1"/>
              </w:rPr>
              <w:t>LCM procedures [RAN</w:t>
            </w:r>
            <w:r>
              <w:rPr>
                <w:rFonts w:ascii="CG Times (WN)" w:hAnsi="CG Times (WN)" w:hint="eastAsia"/>
                <w:color w:val="000000" w:themeColor="text1"/>
                <w:lang w:eastAsia="ja-JP"/>
              </w:rPr>
              <w:t>2</w:t>
            </w:r>
            <w:r>
              <w:rPr>
                <w:rFonts w:ascii="CG Times (WN)" w:hAnsi="CG Times (WN)"/>
                <w:color w:val="000000" w:themeColor="text1"/>
              </w:rPr>
              <w:t>, RAN</w:t>
            </w:r>
            <w:r>
              <w:rPr>
                <w:rFonts w:ascii="CG Times (WN)" w:hAnsi="CG Times (WN)" w:hint="eastAsia"/>
                <w:color w:val="000000" w:themeColor="text1"/>
                <w:lang w:eastAsia="ja-JP"/>
              </w:rPr>
              <w:t>1</w:t>
            </w:r>
            <w:r>
              <w:rPr>
                <w:rFonts w:ascii="CG Times (WN)" w:hAnsi="CG Times (WN)"/>
                <w:color w:val="000000" w:themeColor="text1"/>
              </w:rPr>
              <w:t>, RA</w:t>
            </w:r>
            <w:r>
              <w:rPr>
                <w:rFonts w:ascii="CG Times (WN)" w:hAnsi="CG Times (WN)"/>
                <w:color w:val="000000" w:themeColor="text1"/>
              </w:rPr>
              <w:t>N3, RAN4]</w:t>
            </w:r>
          </w:p>
          <w:p w14:paraId="249C2E7B" w14:textId="77777777" w:rsidR="00B84A52" w:rsidRDefault="00C02984">
            <w:pPr>
              <w:pStyle w:val="af5"/>
              <w:numPr>
                <w:ilvl w:val="1"/>
                <w:numId w:val="3"/>
              </w:numPr>
              <w:spacing w:after="120"/>
              <w:ind w:left="1985" w:hanging="185"/>
              <w:rPr>
                <w:rFonts w:ascii="CG Times (WN)" w:hAnsi="CG Times (WN)"/>
                <w:color w:val="000000" w:themeColor="text1"/>
              </w:rPr>
            </w:pPr>
            <w:r>
              <w:rPr>
                <w:rFonts w:ascii="CG Times (WN)" w:hAnsi="CG Times (WN)"/>
                <w:color w:val="000000" w:themeColor="text1"/>
              </w:rPr>
              <w:t>Data collection and data management, in coordination with SA WGs</w:t>
            </w:r>
            <w:r>
              <w:rPr>
                <w:rFonts w:ascii="CG Times (WN)" w:hAnsi="CG Times (WN)" w:hint="eastAsia"/>
                <w:color w:val="000000" w:themeColor="text1"/>
                <w:lang w:eastAsia="ja-JP"/>
              </w:rPr>
              <w:t xml:space="preserve"> </w:t>
            </w:r>
            <w:r>
              <w:rPr>
                <w:rFonts w:ascii="CG Times (WN)" w:hAnsi="CG Times (WN)"/>
                <w:color w:val="000000" w:themeColor="text1"/>
              </w:rPr>
              <w:t>[RAN2, RAN3</w:t>
            </w:r>
            <w:r>
              <w:rPr>
                <w:rFonts w:ascii="CG Times (WN)" w:hAnsi="CG Times (WN)" w:hint="eastAsia"/>
                <w:color w:val="000000" w:themeColor="text1"/>
                <w:lang w:eastAsia="ja-JP"/>
              </w:rPr>
              <w:t>, RAN1</w:t>
            </w:r>
            <w:r>
              <w:rPr>
                <w:rFonts w:ascii="CG Times (WN)" w:hAnsi="CG Times (WN)"/>
                <w:color w:val="000000" w:themeColor="text1"/>
              </w:rPr>
              <w:t>]</w:t>
            </w:r>
          </w:p>
          <w:p w14:paraId="16AFEAF8" w14:textId="77777777" w:rsidR="00B84A52" w:rsidRDefault="00C02984">
            <w:pPr>
              <w:spacing w:after="120"/>
              <w:ind w:leftChars="213" w:left="426"/>
              <w:rPr>
                <w:rFonts w:ascii="CG Times (WN)" w:hAnsi="CG Times (WN)"/>
                <w:color w:val="000000" w:themeColor="text1"/>
                <w:lang w:eastAsia="ja-JP"/>
              </w:rPr>
            </w:pPr>
            <w:r>
              <w:rPr>
                <w:rFonts w:ascii="CG Times (WN)" w:hAnsi="CG Times (WN)" w:hint="eastAsia"/>
                <w:color w:val="000000" w:themeColor="text1"/>
                <w:lang w:eastAsia="ja-JP"/>
              </w:rPr>
              <w:t xml:space="preserve">Note: NW for AI is assumed to be </w:t>
            </w:r>
            <w:r>
              <w:rPr>
                <w:rFonts w:ascii="CG Times (WN)" w:hAnsi="CG Times (WN)"/>
                <w:color w:val="000000" w:themeColor="text1"/>
                <w:lang w:eastAsia="ja-JP"/>
              </w:rPr>
              <w:t>covered</w:t>
            </w:r>
            <w:r>
              <w:rPr>
                <w:rFonts w:ascii="CG Times (WN)" w:hAnsi="CG Times (WN)" w:hint="eastAsia"/>
                <w:color w:val="000000" w:themeColor="text1"/>
                <w:lang w:eastAsia="ja-JP"/>
              </w:rPr>
              <w:t xml:space="preserve"> by new </w:t>
            </w:r>
            <w:r>
              <w:rPr>
                <w:rFonts w:ascii="CG Times (WN)" w:hAnsi="CG Times (WN)"/>
                <w:color w:val="000000" w:themeColor="text1"/>
                <w:lang w:eastAsia="ja-JP"/>
              </w:rPr>
              <w:t>services</w:t>
            </w:r>
          </w:p>
          <w:p w14:paraId="75D5EE1A" w14:textId="77777777" w:rsidR="00B84A52" w:rsidRDefault="00C02984">
            <w:pPr>
              <w:spacing w:after="120"/>
              <w:ind w:leftChars="213" w:left="426"/>
              <w:rPr>
                <w:rFonts w:ascii="CG Times (WN)" w:hAnsi="CG Times (WN)"/>
                <w:color w:val="000000" w:themeColor="text1"/>
              </w:rPr>
            </w:pPr>
            <w:r>
              <w:rPr>
                <w:rFonts w:ascii="CG Times (WN)" w:hAnsi="CG Times (WN)"/>
                <w:color w:val="000000" w:themeColor="text1"/>
              </w:rPr>
              <w:t>6GR and RAN design shall ensure that the 6G System can also operate without AI/ML</w:t>
            </w:r>
          </w:p>
        </w:tc>
      </w:tr>
    </w:tbl>
    <w:p w14:paraId="7A1A1F4B" w14:textId="77777777" w:rsidR="00B84A52" w:rsidRDefault="00C02984">
      <w:pPr>
        <w:spacing w:beforeLines="50" w:before="120" w:after="120"/>
        <w:jc w:val="both"/>
        <w:rPr>
          <w:rFonts w:eastAsiaTheme="minorEastAsia"/>
          <w:lang w:eastAsia="zh-CN"/>
        </w:rPr>
      </w:pPr>
      <w:r>
        <w:rPr>
          <w:rFonts w:eastAsiaTheme="minorEastAsia" w:hint="eastAsia"/>
          <w:lang w:eastAsia="zh-CN"/>
        </w:rPr>
        <w:t xml:space="preserve">In RAN1#122 meeting, the </w:t>
      </w:r>
      <w:r>
        <w:rPr>
          <w:rFonts w:eastAsiaTheme="minorEastAsia"/>
          <w:lang w:eastAsia="zh-CN"/>
        </w:rPr>
        <w:t>following</w:t>
      </w:r>
      <w:r>
        <w:rPr>
          <w:rFonts w:eastAsiaTheme="minorEastAsia" w:hint="eastAsia"/>
          <w:lang w:eastAsia="zh-CN"/>
        </w:rPr>
        <w:t xml:space="preserve"> agreement was achieved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_Ref142481036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f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B84A52" w14:paraId="4E5C7DBE" w14:textId="77777777">
        <w:tc>
          <w:tcPr>
            <w:tcW w:w="9286" w:type="dxa"/>
          </w:tcPr>
          <w:p w14:paraId="572F70CA" w14:textId="77777777" w:rsidR="00B84A52" w:rsidRDefault="00C02984">
            <w:pPr>
              <w:spacing w:after="120"/>
              <w:rPr>
                <w:rFonts w:ascii="CG Times (WN)" w:hAnsi="CG Times (WN)"/>
                <w:highlight w:val="green"/>
                <w:lang w:eastAsia="zh-CN"/>
              </w:rPr>
            </w:pPr>
            <w:r>
              <w:rPr>
                <w:rFonts w:ascii="CG Times (WN)" w:hAnsi="CG Times (WN)" w:hint="eastAsia"/>
                <w:highlight w:val="green"/>
                <w:lang w:eastAsia="zh-CN"/>
              </w:rPr>
              <w:t>Agreement</w:t>
            </w:r>
          </w:p>
          <w:p w14:paraId="5206C8A1" w14:textId="77777777" w:rsidR="00B84A52" w:rsidRDefault="00C02984">
            <w:pPr>
              <w:spacing w:after="120"/>
              <w:rPr>
                <w:rFonts w:ascii="CG Times (WN)" w:hAnsi="CG Times (WN)"/>
              </w:rPr>
            </w:pPr>
            <w:r>
              <w:rPr>
                <w:rFonts w:ascii="CG Times (WN)" w:hAnsi="CG Times (WN)"/>
              </w:rPr>
              <w:t>For 6GR AI/ML use cases identification</w:t>
            </w:r>
            <w:r>
              <w:rPr>
                <w:rFonts w:ascii="CG Times (WN)" w:hAnsi="CG Times (WN)" w:hint="eastAsia"/>
                <w:lang w:eastAsia="zh-CN"/>
              </w:rPr>
              <w:t>/</w:t>
            </w:r>
            <w:r>
              <w:rPr>
                <w:rFonts w:ascii="CG Times (WN)" w:hAnsi="CG Times (WN)"/>
                <w:lang w:eastAsia="zh-CN"/>
              </w:rPr>
              <w:t>categorization</w:t>
            </w:r>
            <w:r>
              <w:rPr>
                <w:rFonts w:ascii="CG Times (WN)" w:hAnsi="CG Times (WN)"/>
              </w:rPr>
              <w:t>, for each (sub-)use case proposed, p</w:t>
            </w:r>
            <w:r>
              <w:rPr>
                <w:rFonts w:ascii="CG Times (WN)" w:hAnsi="CG Times (WN)"/>
              </w:rPr>
              <w:t xml:space="preserve">roponent companies are encouraged to study and report the following: </w:t>
            </w:r>
          </w:p>
          <w:p w14:paraId="694B9AC2" w14:textId="77777777" w:rsidR="00B84A52" w:rsidRDefault="00C02984">
            <w:pPr>
              <w:numPr>
                <w:ilvl w:val="0"/>
                <w:numId w:val="4"/>
              </w:numPr>
              <w:spacing w:after="120"/>
              <w:contextualSpacing/>
              <w:rPr>
                <w:rFonts w:ascii="CG Times (WN)" w:hAnsi="CG Times (WN)" w:cs="Times"/>
                <w:iCs/>
                <w:lang w:eastAsia="zh-CN"/>
              </w:rPr>
            </w:pPr>
            <w:r>
              <w:rPr>
                <w:rFonts w:ascii="CG Times (WN)" w:hAnsi="CG Times (WN)"/>
                <w:lang w:eastAsia="zh-CN"/>
              </w:rPr>
              <w:t>Definition of each (sub-)use case, including</w:t>
            </w:r>
            <w:r>
              <w:rPr>
                <w:rFonts w:ascii="CG Times (WN)" w:hAnsi="CG Times (WN)" w:hint="eastAsia"/>
                <w:lang w:eastAsia="zh-CN"/>
              </w:rPr>
              <w:t xml:space="preserve"> at least </w:t>
            </w:r>
            <w:r>
              <w:rPr>
                <w:rFonts w:ascii="CG Times (WN)" w:eastAsia="宋体" w:hAnsi="CG Times (WN)"/>
                <w:bCs/>
                <w:iCs/>
                <w:lang w:eastAsia="ja-JP"/>
              </w:rPr>
              <w:t>AI/ML model input/</w:t>
            </w:r>
            <w:r>
              <w:rPr>
                <w:rFonts w:ascii="CG Times (WN)" w:hAnsi="CG Times (WN)"/>
                <w:lang w:eastAsia="zh-CN"/>
              </w:rPr>
              <w:t>output</w:t>
            </w:r>
          </w:p>
          <w:p w14:paraId="147CEF41" w14:textId="77777777" w:rsidR="00B84A52" w:rsidRDefault="00C02984">
            <w:pPr>
              <w:numPr>
                <w:ilvl w:val="0"/>
                <w:numId w:val="4"/>
              </w:numPr>
              <w:spacing w:after="120"/>
              <w:contextualSpacing/>
              <w:rPr>
                <w:rFonts w:ascii="CG Times (WN)" w:hAnsi="CG Times (WN)" w:cs="Times"/>
                <w:iCs/>
                <w:lang w:eastAsia="zh-CN"/>
              </w:rPr>
            </w:pPr>
            <w:r>
              <w:rPr>
                <w:rFonts w:ascii="CG Times (WN)" w:hAnsi="CG Times (WN)" w:cs="Times"/>
                <w:iCs/>
                <w:lang w:eastAsia="zh-CN"/>
              </w:rPr>
              <w:t xml:space="preserve">The </w:t>
            </w:r>
            <w:r>
              <w:rPr>
                <w:rFonts w:ascii="CG Times (WN)" w:hAnsi="CG Times (WN)"/>
                <w:lang w:eastAsia="zh-CN"/>
              </w:rPr>
              <w:t>evaluation assumption, methodology, KPIs</w:t>
            </w:r>
            <w:r>
              <w:rPr>
                <w:rFonts w:ascii="CG Times (WN)" w:hAnsi="CG Times (WN)" w:cs="Times"/>
                <w:iCs/>
                <w:lang w:eastAsia="zh-CN"/>
              </w:rPr>
              <w:t xml:space="preserve">, benchmark, and </w:t>
            </w:r>
            <w:r>
              <w:rPr>
                <w:rFonts w:ascii="CG Times (WN)" w:hAnsi="CG Times (WN)"/>
                <w:lang w:eastAsia="zh-CN"/>
              </w:rPr>
              <w:t>preliminary simulation results</w:t>
            </w:r>
          </w:p>
          <w:p w14:paraId="17F33DDF" w14:textId="77777777" w:rsidR="00B84A52" w:rsidRDefault="00C02984">
            <w:pPr>
              <w:numPr>
                <w:ilvl w:val="0"/>
                <w:numId w:val="4"/>
              </w:numPr>
              <w:spacing w:after="120"/>
              <w:contextualSpacing/>
              <w:rPr>
                <w:rFonts w:ascii="CG Times (WN)" w:hAnsi="CG Times (WN)" w:cs="Times"/>
                <w:iCs/>
                <w:lang w:eastAsia="zh-CN"/>
              </w:rPr>
            </w:pPr>
            <w:r>
              <w:rPr>
                <w:rFonts w:ascii="CG Times (WN)" w:hAnsi="CG Times (WN)"/>
                <w:lang w:eastAsia="zh-CN"/>
              </w:rPr>
              <w:t>Assumption on training types, e.g.,</w:t>
            </w:r>
          </w:p>
          <w:p w14:paraId="699962C2" w14:textId="77777777" w:rsidR="00B84A52" w:rsidRDefault="00C02984">
            <w:pPr>
              <w:numPr>
                <w:ilvl w:val="1"/>
                <w:numId w:val="4"/>
              </w:numPr>
              <w:spacing w:after="120"/>
              <w:contextualSpacing/>
              <w:rPr>
                <w:rFonts w:ascii="CG Times (WN)" w:hAnsi="CG Times (WN)" w:cs="Times"/>
                <w:iCs/>
                <w:lang w:eastAsia="zh-CN"/>
              </w:rPr>
            </w:pPr>
            <w:r>
              <w:rPr>
                <w:rFonts w:ascii="CG Times (WN)" w:hAnsi="CG Times (WN)"/>
                <w:lang w:eastAsia="zh-CN"/>
              </w:rPr>
              <w:t>offline training, online training/finetuning</w:t>
            </w:r>
          </w:p>
          <w:p w14:paraId="3C6EA902" w14:textId="77777777" w:rsidR="00B84A52" w:rsidRDefault="00C02984">
            <w:pPr>
              <w:numPr>
                <w:ilvl w:val="1"/>
                <w:numId w:val="4"/>
              </w:numPr>
              <w:spacing w:after="120"/>
              <w:contextualSpacing/>
              <w:rPr>
                <w:rFonts w:ascii="CG Times (WN)" w:hAnsi="CG Times (WN)"/>
                <w:lang w:eastAsia="zh-CN"/>
              </w:rPr>
            </w:pPr>
            <w:r>
              <w:rPr>
                <w:rFonts w:ascii="CG Times (WN)" w:hAnsi="CG Times (WN)"/>
                <w:lang w:eastAsia="zh-CN"/>
              </w:rPr>
              <w:t>Label construction (if applicable), including whether/how to obtain label data for model training</w:t>
            </w:r>
          </w:p>
          <w:p w14:paraId="7C568737" w14:textId="77777777" w:rsidR="00B84A52" w:rsidRDefault="00C02984">
            <w:pPr>
              <w:numPr>
                <w:ilvl w:val="0"/>
                <w:numId w:val="4"/>
              </w:numPr>
              <w:spacing w:after="120"/>
              <w:contextualSpacing/>
              <w:rPr>
                <w:rFonts w:ascii="CG Times (WN)" w:hAnsi="CG Times (WN)" w:cs="Times"/>
                <w:iCs/>
                <w:lang w:eastAsia="zh-CN"/>
              </w:rPr>
            </w:pPr>
            <w:r>
              <w:rPr>
                <w:rFonts w:ascii="CG Times (WN)" w:hAnsi="CG Times (WN)"/>
                <w:lang w:eastAsia="zh-CN"/>
              </w:rPr>
              <w:t>Assumption on model location</w:t>
            </w:r>
            <w:r>
              <w:rPr>
                <w:rFonts w:ascii="CG Times (WN)" w:hAnsi="CG Times (WN)" w:hint="eastAsia"/>
                <w:lang w:eastAsia="zh-CN"/>
              </w:rPr>
              <w:t xml:space="preserve"> for inference, e.g., </w:t>
            </w:r>
            <w:r>
              <w:rPr>
                <w:rFonts w:ascii="CG Times (WN)" w:hAnsi="CG Times (WN)"/>
                <w:lang w:eastAsia="zh-CN"/>
              </w:rPr>
              <w:t>UE-sided model, NW-sided mo</w:t>
            </w:r>
            <w:r>
              <w:rPr>
                <w:rFonts w:ascii="CG Times (WN)" w:hAnsi="CG Times (WN)"/>
                <w:lang w:eastAsia="zh-CN"/>
              </w:rPr>
              <w:t>del, and two-sided model</w:t>
            </w:r>
          </w:p>
          <w:p w14:paraId="1E8E52DA" w14:textId="77777777" w:rsidR="00B84A52" w:rsidRDefault="00C02984">
            <w:pPr>
              <w:numPr>
                <w:ilvl w:val="0"/>
                <w:numId w:val="5"/>
              </w:numPr>
              <w:spacing w:after="120"/>
              <w:contextualSpacing/>
              <w:rPr>
                <w:rFonts w:ascii="CG Times (WN)" w:hAnsi="CG Times (WN)" w:cs="Times"/>
                <w:iCs/>
                <w:lang w:eastAsia="zh-CN"/>
              </w:rPr>
            </w:pPr>
            <w:r>
              <w:rPr>
                <w:rFonts w:ascii="CG Times (WN)" w:hAnsi="CG Times (WN)"/>
                <w:lang w:eastAsia="zh-CN"/>
              </w:rPr>
              <w:t>Collaboration</w:t>
            </w:r>
            <w:r>
              <w:rPr>
                <w:rFonts w:ascii="CG Times (WN)" w:hAnsi="CG Times (WN)" w:hint="eastAsia"/>
                <w:lang w:eastAsia="zh-CN"/>
              </w:rPr>
              <w:t xml:space="preserve">/interaction </w:t>
            </w:r>
            <w:r>
              <w:rPr>
                <w:rFonts w:ascii="CG Times (WN)" w:hAnsi="CG Times (WN)"/>
                <w:lang w:eastAsia="zh-CN"/>
              </w:rPr>
              <w:t xml:space="preserve">between UE and NW, e.g., </w:t>
            </w:r>
          </w:p>
          <w:p w14:paraId="550D3110" w14:textId="77777777" w:rsidR="00B84A52" w:rsidRDefault="00C02984">
            <w:pPr>
              <w:numPr>
                <w:ilvl w:val="1"/>
                <w:numId w:val="5"/>
              </w:numPr>
              <w:spacing w:after="120"/>
              <w:contextualSpacing/>
              <w:rPr>
                <w:rFonts w:ascii="CG Times (WN)" w:hAnsi="CG Times (WN)" w:cs="Times"/>
                <w:iCs/>
                <w:lang w:eastAsia="zh-CN"/>
              </w:rPr>
            </w:pPr>
            <w:r>
              <w:rPr>
                <w:rFonts w:ascii="CG Times (WN)" w:hAnsi="CG Times (WN)"/>
                <w:lang w:eastAsia="zh-CN"/>
              </w:rPr>
              <w:t>no collaboration</w:t>
            </w:r>
            <w:r>
              <w:rPr>
                <w:rFonts w:ascii="CG Times (WN)" w:hAnsi="CG Times (WN)" w:hint="eastAsia"/>
                <w:lang w:eastAsia="zh-CN"/>
              </w:rPr>
              <w:t>/interaction</w:t>
            </w:r>
          </w:p>
          <w:p w14:paraId="762011AB" w14:textId="77777777" w:rsidR="00B84A52" w:rsidRDefault="00C02984">
            <w:pPr>
              <w:numPr>
                <w:ilvl w:val="1"/>
                <w:numId w:val="5"/>
              </w:numPr>
              <w:spacing w:after="120"/>
              <w:contextualSpacing/>
              <w:rPr>
                <w:rFonts w:ascii="CG Times (WN)" w:hAnsi="CG Times (WN)" w:cs="Times"/>
                <w:iCs/>
                <w:lang w:eastAsia="zh-CN"/>
              </w:rPr>
            </w:pPr>
            <w:r>
              <w:rPr>
                <w:rFonts w:ascii="CG Times (WN)" w:hAnsi="CG Times (WN)"/>
                <w:lang w:eastAsia="zh-CN"/>
              </w:rPr>
              <w:t>UE/Network collaboration targeting at separate or joint ML operation</w:t>
            </w:r>
          </w:p>
          <w:p w14:paraId="4752CBAD" w14:textId="77777777" w:rsidR="00B84A52" w:rsidRDefault="00C02984">
            <w:pPr>
              <w:numPr>
                <w:ilvl w:val="0"/>
                <w:numId w:val="5"/>
              </w:numPr>
              <w:spacing w:after="120"/>
              <w:contextualSpacing/>
              <w:rPr>
                <w:rFonts w:ascii="CG Times (WN)" w:eastAsiaTheme="minorEastAsia" w:hAnsi="CG Times (WN)"/>
                <w:lang w:eastAsia="zh-CN"/>
              </w:rPr>
            </w:pPr>
            <w:r>
              <w:rPr>
                <w:rFonts w:ascii="CG Times (WN)" w:hAnsi="CG Times (WN)"/>
                <w:lang w:eastAsia="zh-CN"/>
              </w:rPr>
              <w:t>H</w:t>
            </w:r>
            <w:r>
              <w:rPr>
                <w:rFonts w:ascii="CG Times (WN)" w:hAnsi="CG Times (WN)" w:hint="eastAsia"/>
                <w:lang w:eastAsia="zh-CN"/>
              </w:rPr>
              <w:t>igh level p</w:t>
            </w:r>
            <w:r>
              <w:rPr>
                <w:rFonts w:ascii="CG Times (WN)" w:hAnsi="CG Times (WN)"/>
                <w:lang w:eastAsia="zh-CN"/>
              </w:rPr>
              <w:t>otential specification impact</w:t>
            </w:r>
          </w:p>
        </w:tc>
      </w:tr>
    </w:tbl>
    <w:p w14:paraId="4D50D051" w14:textId="77777777" w:rsidR="00B84A52" w:rsidRDefault="00C02984">
      <w:pPr>
        <w:pStyle w:val="ae"/>
        <w:spacing w:beforeAutospacing="1" w:after="0" w:afterAutospacing="1"/>
      </w:pPr>
      <w:r>
        <w:rPr>
          <w:sz w:val="20"/>
          <w:szCs w:val="20"/>
        </w:rPr>
        <w:t xml:space="preserve">This contribution provides our </w:t>
      </w:r>
      <w:r>
        <w:rPr>
          <w:sz w:val="20"/>
          <w:szCs w:val="20"/>
        </w:rPr>
        <w:t>views regarding the AI/ML framework for CSI prediction in the context of 6G air-interface design.</w:t>
      </w:r>
    </w:p>
    <w:p w14:paraId="30549BA7" w14:textId="77777777" w:rsidR="00B84A52" w:rsidRDefault="00C02984">
      <w:pPr>
        <w:pStyle w:val="1"/>
        <w:numPr>
          <w:ilvl w:val="0"/>
          <w:numId w:val="1"/>
        </w:numPr>
        <w:jc w:val="both"/>
      </w:pPr>
      <w:r>
        <w:rPr>
          <w:sz w:val="32"/>
          <w:szCs w:val="18"/>
        </w:rPr>
        <w:lastRenderedPageBreak/>
        <w:t xml:space="preserve">CSI Prediction </w:t>
      </w:r>
      <w:r>
        <w:rPr>
          <w:sz w:val="32"/>
          <w:szCs w:val="18"/>
          <w:lang w:val="en-US"/>
        </w:rPr>
        <w:t>Framework</w:t>
      </w:r>
    </w:p>
    <w:p w14:paraId="38E4228C" w14:textId="77777777" w:rsidR="00B84A52" w:rsidRDefault="00C02984">
      <w:pPr>
        <w:pStyle w:val="ae"/>
        <w:spacing w:beforeAutospacing="1" w:after="0" w:afterAutospacing="1"/>
        <w:jc w:val="both"/>
        <w:rPr>
          <w:rFonts w:eastAsiaTheme="minorEastAsia"/>
          <w:sz w:val="20"/>
          <w:szCs w:val="20"/>
        </w:rPr>
      </w:pPr>
      <w:r>
        <w:rPr>
          <w:rFonts w:eastAsiaTheme="minorEastAsia" w:hint="eastAsia"/>
          <w:sz w:val="20"/>
          <w:szCs w:val="20"/>
          <w:lang w:val="en-US" w:eastAsia="zh-CN"/>
        </w:rPr>
        <w:t>A</w:t>
      </w:r>
      <w:proofErr w:type="spellStart"/>
      <w:r>
        <w:rPr>
          <w:rFonts w:eastAsiaTheme="minorEastAsia"/>
          <w:sz w:val="20"/>
          <w:szCs w:val="20"/>
        </w:rPr>
        <w:t>ccurate</w:t>
      </w:r>
      <w:proofErr w:type="spellEnd"/>
      <w:r>
        <w:rPr>
          <w:rFonts w:eastAsiaTheme="minorEastAsia"/>
          <w:sz w:val="20"/>
          <w:szCs w:val="20"/>
        </w:rPr>
        <w:t xml:space="preserve"> and timely acquisition of </w:t>
      </w:r>
      <w:r>
        <w:rPr>
          <w:rFonts w:eastAsiaTheme="minorEastAsia"/>
          <w:sz w:val="20"/>
          <w:szCs w:val="20"/>
          <w:lang w:val="en-US"/>
        </w:rPr>
        <w:t xml:space="preserve">CSI </w:t>
      </w:r>
      <w:r>
        <w:rPr>
          <w:rFonts w:eastAsiaTheme="minorEastAsia"/>
          <w:sz w:val="20"/>
          <w:szCs w:val="20"/>
        </w:rPr>
        <w:t>is pivotal for downlink beamforming, link adaptation, and scheduling in modern cellular system</w:t>
      </w:r>
      <w:r>
        <w:rPr>
          <w:rFonts w:eastAsiaTheme="minorEastAsia"/>
          <w:sz w:val="20"/>
          <w:szCs w:val="20"/>
        </w:rPr>
        <w:t>s. Currently, networks rely on CSI feedback: the</w:t>
      </w:r>
      <w:r>
        <w:rPr>
          <w:rFonts w:eastAsiaTheme="minorEastAsia"/>
          <w:sz w:val="20"/>
          <w:szCs w:val="20"/>
          <w:lang w:val="en-US"/>
        </w:rPr>
        <w:t xml:space="preserve"> UE </w:t>
      </w:r>
      <w:r>
        <w:rPr>
          <w:rFonts w:eastAsiaTheme="minorEastAsia"/>
          <w:sz w:val="20"/>
          <w:szCs w:val="20"/>
        </w:rPr>
        <w:t>measures Channel State Information Reference Signals (CSI-RS) and reports compressed CSI to the</w:t>
      </w:r>
      <w:r>
        <w:rPr>
          <w:rFonts w:eastAsiaTheme="minorEastAsia" w:hint="eastAsia"/>
          <w:sz w:val="20"/>
          <w:szCs w:val="20"/>
          <w:lang w:val="en-US" w:eastAsia="zh-CN"/>
        </w:rPr>
        <w:t xml:space="preserve"> </w:t>
      </w:r>
      <w:r>
        <w:rPr>
          <w:rFonts w:eastAsiaTheme="minorEastAsia"/>
          <w:sz w:val="20"/>
          <w:szCs w:val="20"/>
          <w:lang w:val="en-US" w:eastAsia="zh-CN"/>
        </w:rPr>
        <w:t>NW.</w:t>
      </w:r>
      <w:r>
        <w:rPr>
          <w:rFonts w:eastAsiaTheme="minorEastAsia"/>
          <w:sz w:val="20"/>
          <w:szCs w:val="20"/>
        </w:rPr>
        <w:t xml:space="preserve"> Yet in high-mobility scenarios, rapid channel variation leads to a “channel aging” problem, where the CS</w:t>
      </w:r>
      <w:r>
        <w:rPr>
          <w:rFonts w:eastAsiaTheme="minorEastAsia"/>
          <w:sz w:val="20"/>
          <w:szCs w:val="20"/>
        </w:rPr>
        <w:t>I becomes stale by the time it is used, thus degrading system performance.</w:t>
      </w:r>
    </w:p>
    <w:p w14:paraId="230E1646" w14:textId="77777777" w:rsidR="00B84A52" w:rsidRDefault="00C02984">
      <w:pPr>
        <w:pStyle w:val="ae"/>
        <w:spacing w:beforeAutospacing="1" w:after="0" w:afterAutospacing="1"/>
        <w:jc w:val="both"/>
        <w:rPr>
          <w:rFonts w:eastAsiaTheme="minorEastAsia"/>
          <w:sz w:val="20"/>
          <w:szCs w:val="20"/>
          <w:lang w:val="en-US" w:eastAsia="zh-CN"/>
        </w:rPr>
      </w:pPr>
      <w:r>
        <w:rPr>
          <w:rFonts w:eastAsiaTheme="minorEastAsia" w:hint="eastAsia"/>
          <w:sz w:val="20"/>
          <w:szCs w:val="20"/>
          <w:lang w:val="en-US" w:eastAsia="zh-CN"/>
        </w:rPr>
        <w:t xml:space="preserve">In 5GA, CSI prediction has primarily focused on the UE side. Recently, however, increasing attention has been directed toward NW-side CSI prediction, as companies explore its potential benefits for next-generation networks </w:t>
      </w:r>
      <w:r>
        <w:rPr>
          <w:rFonts w:eastAsiaTheme="minorEastAsia"/>
          <w:sz w:val="20"/>
          <w:szCs w:val="20"/>
          <w:lang w:val="en-US" w:eastAsia="zh-CN"/>
        </w:rPr>
        <w:t>[</w:t>
      </w:r>
      <w:r>
        <w:rPr>
          <w:rFonts w:eastAsiaTheme="minorEastAsia" w:hint="eastAsia"/>
          <w:sz w:val="20"/>
          <w:szCs w:val="20"/>
          <w:lang w:val="en-US" w:eastAsia="zh-CN"/>
        </w:rPr>
        <w:t>3</w:t>
      </w:r>
      <w:r>
        <w:rPr>
          <w:rFonts w:eastAsiaTheme="minorEastAsia"/>
          <w:sz w:val="20"/>
          <w:szCs w:val="20"/>
          <w:lang w:val="en-US" w:eastAsia="zh-CN"/>
        </w:rPr>
        <w:t>]</w:t>
      </w:r>
      <w:r>
        <w:rPr>
          <w:rFonts w:eastAsiaTheme="minorEastAsia" w:hint="eastAsia"/>
          <w:sz w:val="20"/>
          <w:szCs w:val="20"/>
          <w:lang w:val="en-US" w:eastAsia="zh-CN"/>
        </w:rPr>
        <w:t>. Network-side AI/ML predictio</w:t>
      </w:r>
      <w:r>
        <w:rPr>
          <w:rFonts w:eastAsiaTheme="minorEastAsia" w:hint="eastAsia"/>
          <w:sz w:val="20"/>
          <w:szCs w:val="20"/>
          <w:lang w:val="en-US" w:eastAsia="zh-CN"/>
        </w:rPr>
        <w:t>n has been explored to mitigate aging, but when only compressed CSI feedback is used as input, significant resolution loss limits prediction accuracy in fast-changing channels. Some prior works focus on enhancing CSI reconstruction by fusing Sounding Refer</w:t>
      </w:r>
      <w:r>
        <w:rPr>
          <w:rFonts w:eastAsiaTheme="minorEastAsia" w:hint="eastAsia"/>
          <w:sz w:val="20"/>
          <w:szCs w:val="20"/>
          <w:lang w:val="en-US" w:eastAsia="zh-CN"/>
        </w:rPr>
        <w:t>ence Signal (SRS) measurements [4], while others rely solely on SRS for CSI prediction [5]. However, none integrate CSI feedback and SRS jointly in the prediction process, nor do they provide mechanisms that dynamically trigger additional SRS reporting bas</w:t>
      </w:r>
      <w:r>
        <w:rPr>
          <w:rFonts w:eastAsiaTheme="minorEastAsia" w:hint="eastAsia"/>
          <w:sz w:val="20"/>
          <w:szCs w:val="20"/>
          <w:lang w:val="en-US" w:eastAsia="zh-CN"/>
        </w:rPr>
        <w:t>ed on monitored prediction performance. As a result, their robustness under dynamic multipath and mobility conditions remains limited.</w:t>
      </w:r>
    </w:p>
    <w:p w14:paraId="3D538610" w14:textId="77777777" w:rsidR="00B84A52" w:rsidRDefault="00C02984">
      <w:pPr>
        <w:pStyle w:val="ae"/>
        <w:spacing w:beforeAutospacing="1" w:after="0" w:afterAutospacing="1"/>
        <w:jc w:val="both"/>
        <w:rPr>
          <w:sz w:val="20"/>
          <w:szCs w:val="20"/>
        </w:rPr>
      </w:pPr>
      <w:r>
        <w:rPr>
          <w:rFonts w:eastAsiaTheme="minorEastAsia" w:hint="eastAsia"/>
          <w:sz w:val="20"/>
          <w:szCs w:val="20"/>
          <w:lang w:val="en-US" w:eastAsia="zh-CN"/>
        </w:rPr>
        <w:t>T</w:t>
      </w:r>
      <w:r>
        <w:rPr>
          <w:rFonts w:eastAsiaTheme="minorEastAsia" w:hint="eastAsia"/>
          <w:sz w:val="20"/>
          <w:szCs w:val="20"/>
          <w:lang w:val="en-US" w:eastAsia="zh-CN"/>
        </w:rPr>
        <w:t xml:space="preserve">o </w:t>
      </w:r>
      <w:proofErr w:type="spellStart"/>
      <w:r>
        <w:rPr>
          <w:rFonts w:eastAsiaTheme="minorEastAsia" w:hint="eastAsia"/>
          <w:sz w:val="20"/>
          <w:szCs w:val="20"/>
          <w:lang w:val="en-US" w:eastAsia="zh-CN"/>
        </w:rPr>
        <w:t>addr</w:t>
      </w:r>
      <w:r>
        <w:rPr>
          <w:sz w:val="20"/>
          <w:szCs w:val="20"/>
        </w:rPr>
        <w:t>ess</w:t>
      </w:r>
      <w:proofErr w:type="spellEnd"/>
      <w:r>
        <w:rPr>
          <w:sz w:val="20"/>
          <w:szCs w:val="20"/>
        </w:rPr>
        <w:t xml:space="preserve"> these challenges, this contribution proposes an </w:t>
      </w:r>
      <w:r>
        <w:rPr>
          <w:b/>
          <w:bCs/>
          <w:sz w:val="20"/>
          <w:szCs w:val="20"/>
        </w:rPr>
        <w:t xml:space="preserve">SRS-assisted AI-driven downlink CSI prediction </w:t>
      </w:r>
      <w:r>
        <w:rPr>
          <w:b/>
          <w:bCs/>
          <w:sz w:val="20"/>
          <w:szCs w:val="20"/>
          <w:lang w:val="en-US"/>
        </w:rPr>
        <w:t>Scheme</w:t>
      </w:r>
      <w:r>
        <w:rPr>
          <w:sz w:val="20"/>
          <w:szCs w:val="20"/>
        </w:rPr>
        <w:t xml:space="preserve">. The </w:t>
      </w:r>
      <w:r>
        <w:rPr>
          <w:sz w:val="20"/>
          <w:szCs w:val="20"/>
          <w:lang w:val="en-US" w:eastAsia="zh-CN"/>
        </w:rPr>
        <w:t>NW</w:t>
      </w:r>
      <w:r>
        <w:rPr>
          <w:sz w:val="20"/>
          <w:szCs w:val="20"/>
        </w:rPr>
        <w:t xml:space="preserve"> fuses both compressed CSI feedback and high-resolution SR</w:t>
      </w:r>
      <w:r>
        <w:rPr>
          <w:sz w:val="20"/>
          <w:szCs w:val="20"/>
        </w:rPr>
        <w:t>S measurements as inputs to an AI/ML model. In addition, a prediction-performance monitoring mechanism is designed to continuously assess prediction accuracy and to dynamically trigger aperiodic SRS transmissions when error thresholds are exceeded. This co</w:t>
      </w:r>
      <w:r>
        <w:rPr>
          <w:sz w:val="20"/>
          <w:szCs w:val="20"/>
        </w:rPr>
        <w:t>mplements the baseline periodic SRS reporting, enabling a balance between uplink overhead and prediction reliability across diverse 6G mobility scenarios.</w:t>
      </w:r>
    </w:p>
    <w:p w14:paraId="484ADB12" w14:textId="77777777" w:rsidR="00B84A52" w:rsidRDefault="00C02984">
      <w:pPr>
        <w:pStyle w:val="2"/>
        <w:numPr>
          <w:ilvl w:val="1"/>
          <w:numId w:val="1"/>
        </w:numPr>
        <w:rPr>
          <w:bCs w:val="0"/>
          <w:lang w:eastAsia="zh-CN"/>
        </w:rPr>
      </w:pPr>
      <w:r>
        <w:rPr>
          <w:rFonts w:hint="eastAsia"/>
          <w:bCs w:val="0"/>
        </w:rPr>
        <w:t>Proposed</w:t>
      </w:r>
      <w:r>
        <w:rPr>
          <w:rFonts w:hint="eastAsia"/>
          <w:bCs w:val="0"/>
          <w:lang w:val="en-US" w:eastAsia="zh-CN"/>
        </w:rPr>
        <w:t xml:space="preserve"> </w:t>
      </w:r>
      <w:r>
        <w:rPr>
          <w:rFonts w:hint="eastAsia"/>
          <w:bCs w:val="0"/>
        </w:rPr>
        <w:t>SRS-Assisted AI-Driven CSI Prediction Scheme</w:t>
      </w:r>
      <w:r>
        <w:rPr>
          <w:rFonts w:hint="eastAsia"/>
          <w:bCs w:val="0"/>
          <w:lang w:eastAsia="zh-CN"/>
        </w:rPr>
        <w:t xml:space="preserve"> </w:t>
      </w:r>
    </w:p>
    <w:p w14:paraId="7AC31169" w14:textId="77777777" w:rsidR="00B84A52" w:rsidRDefault="00C02984">
      <w:pPr>
        <w:jc w:val="both"/>
      </w:pPr>
      <w:r>
        <w:t>The proposed method integrates CSI feedback re</w:t>
      </w:r>
      <w:r>
        <w:t xml:space="preserve">ported by the UE with SRS signals received at the </w:t>
      </w:r>
      <w:r>
        <w:rPr>
          <w:lang w:val="en-US" w:eastAsia="zh-CN"/>
        </w:rPr>
        <w:t>NW</w:t>
      </w:r>
      <w:r>
        <w:t xml:space="preserve">, as illustrated in </w:t>
      </w:r>
      <w:r>
        <w:rPr>
          <w:rFonts w:ascii="Times New Roman Bold" w:hAnsi="Times New Roman Bold" w:cs="Times New Roman Bold"/>
          <w:b/>
          <w:bCs/>
        </w:rPr>
        <w:t>Figure 1</w:t>
      </w:r>
      <w:r>
        <w:t xml:space="preserve">. By leveraging channel reciprocity in TDD systems, the </w:t>
      </w:r>
      <w:r>
        <w:rPr>
          <w:lang w:val="en-US" w:eastAsia="zh-CN"/>
        </w:rPr>
        <w:t>NW</w:t>
      </w:r>
      <w:r>
        <w:t xml:space="preserve"> can exploit both the temporal continuity provided by CSI feedback and the high-resolution spatial–frequency information captured by SRS. These complementary sources are jointly processed by an AI/ML model to predict the future downlink CSI, which not only</w:t>
      </w:r>
      <w:r>
        <w:t xml:space="preserve"> sustains accuracy under fast fading and high-Doppler conditions but also recovers fine-grained channel details that are lost in compressed feedback. As a result, the reliance on frequent CSI reporting from the UE can be reduced, lowering uplink </w:t>
      </w:r>
      <w:proofErr w:type="spellStart"/>
      <w:r>
        <w:t>signaling</w:t>
      </w:r>
      <w:proofErr w:type="spellEnd"/>
      <w:r>
        <w:t xml:space="preserve"> </w:t>
      </w:r>
      <w:r>
        <w:t>overhead and UE power consumption. More accurate predictions further enable better beam selection, MCS adaptation, and scheduling, ultimately improving throughput, reducing BLER, and enhancing link reliability. This integrated framework is particularly rob</w:t>
      </w:r>
      <w:r>
        <w:t>ust in challenging mobility scenarios such as high-speed trains, UAVs, and vehicular environments, where conventional feedback-only methods tend to degrade.</w:t>
      </w:r>
    </w:p>
    <w:p w14:paraId="287FDB1D" w14:textId="77777777" w:rsidR="00B84A52" w:rsidRDefault="00C02984">
      <w:pPr>
        <w:jc w:val="center"/>
      </w:pPr>
      <w:r>
        <w:rPr>
          <w:noProof/>
        </w:rPr>
        <w:drawing>
          <wp:inline distT="0" distB="0" distL="114300" distR="114300">
            <wp:extent cx="3764280" cy="1423670"/>
            <wp:effectExtent l="0" t="0" r="20320" b="241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3764280" cy="1423670"/>
                    </a:xfrm>
                    <a:prstGeom prst="rect">
                      <a:avLst/>
                    </a:prstGeom>
                    <a:noFill/>
                    <a:ln>
                      <a:noFill/>
                    </a:ln>
                  </pic:spPr>
                </pic:pic>
              </a:graphicData>
            </a:graphic>
          </wp:inline>
        </w:drawing>
      </w:r>
    </w:p>
    <w:p w14:paraId="4C05A5A6" w14:textId="77777777" w:rsidR="00B84A52" w:rsidRDefault="00C02984">
      <w:pPr>
        <w:pStyle w:val="ae"/>
        <w:spacing w:beforeAutospacing="1" w:after="0" w:afterAutospacing="1"/>
        <w:jc w:val="center"/>
        <w:rPr>
          <w:rFonts w:ascii="Times New Roman Bold" w:eastAsia="宋体" w:hAnsi="Times New Roman Bold" w:cs="Times New Roman Bold"/>
          <w:b/>
          <w:bCs/>
          <w:lang w:eastAsia="zh-CN"/>
        </w:rPr>
      </w:pPr>
      <w:r>
        <w:rPr>
          <w:rFonts w:eastAsia="宋体"/>
          <w:b/>
          <w:bCs/>
          <w:sz w:val="20"/>
          <w:szCs w:val="20"/>
          <w:lang w:val="en-US" w:eastAsia="en-US"/>
        </w:rPr>
        <w:t>Figure</w:t>
      </w:r>
      <w:r>
        <w:rPr>
          <w:rFonts w:eastAsia="宋体" w:hint="eastAsia"/>
          <w:b/>
          <w:bCs/>
          <w:sz w:val="20"/>
          <w:szCs w:val="20"/>
          <w:lang w:val="en-US" w:eastAsia="zh-CN"/>
        </w:rPr>
        <w:t xml:space="preserve"> </w:t>
      </w:r>
      <w:r>
        <w:rPr>
          <w:rFonts w:eastAsia="宋体"/>
          <w:b/>
          <w:bCs/>
          <w:sz w:val="20"/>
          <w:szCs w:val="20"/>
          <w:lang w:val="en-US" w:eastAsia="en-US"/>
        </w:rPr>
        <w:fldChar w:fldCharType="begin"/>
      </w:r>
      <w:r>
        <w:rPr>
          <w:rFonts w:eastAsia="宋体"/>
          <w:b/>
          <w:bCs/>
          <w:sz w:val="20"/>
          <w:szCs w:val="20"/>
          <w:lang w:val="en-US" w:eastAsia="en-US"/>
        </w:rPr>
        <w:instrText xml:space="preserve"> SEQ Figure_ \* ARABIC </w:instrText>
      </w:r>
      <w:r>
        <w:rPr>
          <w:rFonts w:eastAsia="宋体"/>
          <w:b/>
          <w:bCs/>
          <w:sz w:val="20"/>
          <w:szCs w:val="20"/>
          <w:lang w:val="en-US" w:eastAsia="en-US"/>
        </w:rPr>
        <w:fldChar w:fldCharType="separate"/>
      </w:r>
      <w:r>
        <w:rPr>
          <w:rFonts w:eastAsia="宋体"/>
          <w:b/>
          <w:bCs/>
          <w:sz w:val="20"/>
          <w:szCs w:val="20"/>
          <w:lang w:val="en-US" w:eastAsia="en-US"/>
        </w:rPr>
        <w:t>1</w:t>
      </w:r>
      <w:r>
        <w:rPr>
          <w:rFonts w:eastAsia="宋体"/>
          <w:b/>
          <w:bCs/>
          <w:sz w:val="20"/>
          <w:szCs w:val="20"/>
          <w:lang w:val="en-US" w:eastAsia="en-US"/>
        </w:rPr>
        <w:fldChar w:fldCharType="end"/>
      </w:r>
      <w:r>
        <w:rPr>
          <w:rFonts w:eastAsia="宋体"/>
          <w:b/>
          <w:bCs/>
          <w:sz w:val="20"/>
          <w:szCs w:val="20"/>
          <w:lang w:val="en-US" w:eastAsia="en-US"/>
        </w:rPr>
        <w:t>: Prediction Framework</w:t>
      </w:r>
    </w:p>
    <w:p w14:paraId="0FB0C167" w14:textId="77777777" w:rsidR="00B84A52" w:rsidRDefault="00C02984">
      <w:pPr>
        <w:pStyle w:val="ae"/>
        <w:spacing w:beforeAutospacing="1" w:after="0" w:afterAutospacing="1"/>
        <w:jc w:val="both"/>
        <w:rPr>
          <w:b/>
          <w:bCs/>
          <w:sz w:val="20"/>
          <w:szCs w:val="20"/>
          <w:lang w:eastAsia="zh-CN"/>
        </w:rPr>
      </w:pPr>
      <w:r>
        <w:rPr>
          <w:b/>
          <w:bCs/>
          <w:sz w:val="20"/>
          <w:szCs w:val="20"/>
          <w:lang w:eastAsia="zh-CN"/>
        </w:rPr>
        <w:t xml:space="preserve">Proposal 1: Fuse CSI feedback and SRS </w:t>
      </w:r>
      <w:r>
        <w:rPr>
          <w:b/>
          <w:bCs/>
          <w:sz w:val="20"/>
          <w:szCs w:val="20"/>
          <w:lang w:eastAsia="zh-CN"/>
        </w:rPr>
        <w:t>as AI/ML inputs, leveraging temporal continuity (feedback) and high-resolution spatial–frequency detail (SRS) to predict future downlink CSI.</w:t>
      </w:r>
    </w:p>
    <w:p w14:paraId="0AF835B5" w14:textId="77777777" w:rsidR="00B84A52" w:rsidRDefault="00B84A52">
      <w:pPr>
        <w:jc w:val="both"/>
        <w:rPr>
          <w:b/>
          <w:bCs/>
          <w:lang w:eastAsia="zh-CN"/>
        </w:rPr>
      </w:pPr>
    </w:p>
    <w:p w14:paraId="6F311773" w14:textId="77777777" w:rsidR="00B84A52" w:rsidRDefault="00C02984">
      <w:pPr>
        <w:pStyle w:val="3"/>
        <w:numPr>
          <w:ilvl w:val="2"/>
          <w:numId w:val="1"/>
        </w:numPr>
      </w:pPr>
      <w:r>
        <w:rPr>
          <w:rFonts w:hint="eastAsia"/>
        </w:rPr>
        <w:t>Prediction Modes</w:t>
      </w:r>
    </w:p>
    <w:p w14:paraId="495D878B" w14:textId="77777777" w:rsidR="00B84A52" w:rsidRDefault="00C02984">
      <w:pPr>
        <w:pStyle w:val="ae"/>
        <w:spacing w:beforeAutospacing="1" w:after="0" w:afterAutospacing="1"/>
        <w:jc w:val="both"/>
        <w:rPr>
          <w:sz w:val="20"/>
          <w:szCs w:val="20"/>
        </w:rPr>
      </w:pPr>
      <w:r>
        <w:rPr>
          <w:sz w:val="20"/>
          <w:szCs w:val="20"/>
        </w:rPr>
        <w:t xml:space="preserve">The overall framework consists of two main phases: </w:t>
      </w:r>
      <w:r>
        <w:rPr>
          <w:b/>
          <w:bCs/>
          <w:sz w:val="20"/>
          <w:szCs w:val="20"/>
        </w:rPr>
        <w:t>CSI acquisition</w:t>
      </w:r>
      <w:r>
        <w:rPr>
          <w:sz w:val="20"/>
          <w:szCs w:val="20"/>
        </w:rPr>
        <w:t xml:space="preserve"> and </w:t>
      </w:r>
      <w:r>
        <w:rPr>
          <w:b/>
          <w:bCs/>
          <w:sz w:val="20"/>
          <w:szCs w:val="20"/>
        </w:rPr>
        <w:t>CSI prediction</w:t>
      </w:r>
      <w:r>
        <w:rPr>
          <w:sz w:val="20"/>
          <w:szCs w:val="20"/>
        </w:rPr>
        <w:t>. In the ac</w:t>
      </w:r>
      <w:r>
        <w:rPr>
          <w:sz w:val="20"/>
          <w:szCs w:val="20"/>
        </w:rPr>
        <w:t xml:space="preserve">quisition phase, the </w:t>
      </w:r>
      <w:r>
        <w:rPr>
          <w:sz w:val="20"/>
          <w:szCs w:val="20"/>
          <w:lang w:val="en-US" w:eastAsia="zh-CN"/>
        </w:rPr>
        <w:t>NW</w:t>
      </w:r>
      <w:r>
        <w:rPr>
          <w:sz w:val="20"/>
          <w:szCs w:val="20"/>
        </w:rPr>
        <w:t xml:space="preserve"> periodically transmits wideband CSI-RS, which is measured by the UE and compressed into CSI feedback for reporting. The </w:t>
      </w:r>
      <w:r>
        <w:rPr>
          <w:sz w:val="20"/>
          <w:szCs w:val="20"/>
          <w:lang w:val="en-US" w:eastAsia="zh-CN"/>
        </w:rPr>
        <w:t>NW</w:t>
      </w:r>
      <w:r>
        <w:rPr>
          <w:sz w:val="20"/>
          <w:szCs w:val="20"/>
        </w:rPr>
        <w:t xml:space="preserve"> then decompresses the feedback to reconstruct historical CSI, thereby collecting temporal channel information</w:t>
      </w:r>
      <w:r>
        <w:rPr>
          <w:sz w:val="20"/>
          <w:szCs w:val="20"/>
        </w:rPr>
        <w:t xml:space="preserve">. In parallel, the UE periodically transmits SRS according to protocol specifications, enabling the </w:t>
      </w:r>
      <w:r>
        <w:rPr>
          <w:sz w:val="20"/>
          <w:szCs w:val="20"/>
          <w:lang w:val="en-US" w:eastAsia="zh-CN"/>
        </w:rPr>
        <w:t>NW</w:t>
      </w:r>
      <w:r>
        <w:rPr>
          <w:sz w:val="20"/>
          <w:szCs w:val="20"/>
        </w:rPr>
        <w:t xml:space="preserve"> to obtain high-resolution uplink channel observations. The </w:t>
      </w:r>
      <w:r>
        <w:rPr>
          <w:sz w:val="20"/>
          <w:szCs w:val="20"/>
          <w:lang w:val="en-US" w:eastAsia="zh-CN"/>
        </w:rPr>
        <w:t>NW</w:t>
      </w:r>
      <w:r>
        <w:rPr>
          <w:sz w:val="20"/>
          <w:szCs w:val="20"/>
        </w:rPr>
        <w:t xml:space="preserve"> first estimates the uplink channel from the received SRS, and then jointly utilizes the CSI</w:t>
      </w:r>
      <w:r>
        <w:rPr>
          <w:sz w:val="20"/>
          <w:szCs w:val="20"/>
        </w:rPr>
        <w:t xml:space="preserve"> feedback and uplink channel estimates as inputs to the prediction model.</w:t>
      </w:r>
    </w:p>
    <w:p w14:paraId="2425C793" w14:textId="77777777" w:rsidR="00B84A52" w:rsidRDefault="00C02984">
      <w:pPr>
        <w:pStyle w:val="ae"/>
        <w:spacing w:beforeAutospacing="1" w:after="0" w:afterAutospacing="1"/>
        <w:jc w:val="both"/>
        <w:rPr>
          <w:sz w:val="20"/>
          <w:szCs w:val="20"/>
        </w:rPr>
      </w:pPr>
      <w:r>
        <w:rPr>
          <w:sz w:val="20"/>
          <w:szCs w:val="20"/>
        </w:rPr>
        <w:lastRenderedPageBreak/>
        <w:t>In the subsequent prediction phase, within a defined prediction window, the system may either rely solely on historical CSI feedback and historical SRS to jointly predict future down</w:t>
      </w:r>
      <w:r>
        <w:rPr>
          <w:sz w:val="20"/>
          <w:szCs w:val="20"/>
        </w:rPr>
        <w:t>link CSI over several DL–UL transmission periods, or incorporate newly obtained SRS during the prediction window to further enhance accuracy. Accordingly, two operation modes are defined:</w:t>
      </w:r>
    </w:p>
    <w:p w14:paraId="58661157" w14:textId="77777777" w:rsidR="00B84A52" w:rsidRDefault="00C02984">
      <w:pPr>
        <w:pStyle w:val="af5"/>
        <w:numPr>
          <w:ilvl w:val="0"/>
          <w:numId w:val="6"/>
        </w:numPr>
        <w:rPr>
          <w:rFonts w:ascii="Times New Roman Bold" w:hAnsi="Times New Roman Bold" w:cs="Times New Roman Bold"/>
          <w:b/>
          <w:bCs/>
        </w:rPr>
      </w:pPr>
      <w:r>
        <w:rPr>
          <w:rFonts w:ascii="Times New Roman Bold" w:hAnsi="Times New Roman Bold" w:cs="Times New Roman Bold"/>
          <w:b/>
          <w:bCs/>
          <w:lang w:eastAsia="zh-CN"/>
        </w:rPr>
        <w:t xml:space="preserve">Option 1: </w:t>
      </w:r>
      <w:r>
        <w:rPr>
          <w:rFonts w:ascii="Times New Roman Bold" w:hAnsi="Times New Roman Bold" w:cs="Times New Roman Bold"/>
          <w:b/>
          <w:bCs/>
        </w:rPr>
        <w:t xml:space="preserve">Long-window prediction using historical CSI </w:t>
      </w:r>
      <w:r>
        <w:rPr>
          <w:rFonts w:ascii="Times New Roman Bold" w:hAnsi="Times New Roman Bold" w:cs="Times New Roman Bold"/>
          <w:b/>
          <w:bCs/>
        </w:rPr>
        <w:t>feedback and historical SRS</w:t>
      </w:r>
      <w:r>
        <w:rPr>
          <w:rFonts w:ascii="Times New Roman Bold" w:hAnsi="Times New Roman Bold" w:cs="Times New Roman Bold"/>
          <w:b/>
          <w:bCs/>
          <w:lang w:val="en-US"/>
        </w:rPr>
        <w:t>.</w:t>
      </w:r>
    </w:p>
    <w:p w14:paraId="5EB4269F" w14:textId="77777777" w:rsidR="00B84A52" w:rsidRDefault="00C02984">
      <w:pPr>
        <w:pStyle w:val="af5"/>
        <w:numPr>
          <w:ilvl w:val="0"/>
          <w:numId w:val="6"/>
        </w:numPr>
        <w:rPr>
          <w:rFonts w:ascii="Times New Roman Bold" w:hAnsi="Times New Roman Bold" w:cs="Times New Roman Bold"/>
          <w:b/>
          <w:bCs/>
        </w:rPr>
      </w:pPr>
      <w:r>
        <w:rPr>
          <w:rFonts w:ascii="Times New Roman Bold" w:hAnsi="Times New Roman Bold" w:cs="Times New Roman Bold"/>
          <w:b/>
          <w:bCs/>
        </w:rPr>
        <w:t xml:space="preserve">Option 2: </w:t>
      </w:r>
      <w:r>
        <w:rPr>
          <w:b/>
          <w:bCs/>
        </w:rPr>
        <w:t>Continuous prediction with historical CSI feedback and SRS (including newly obtained SRS)</w:t>
      </w:r>
      <w:r>
        <w:rPr>
          <w:b/>
          <w:bCs/>
          <w:lang w:val="en-US"/>
        </w:rPr>
        <w:t>.</w:t>
      </w:r>
    </w:p>
    <w:p w14:paraId="73E5963F" w14:textId="77777777" w:rsidR="00B84A52" w:rsidRDefault="00C02984">
      <w:pPr>
        <w:rPr>
          <w:rFonts w:ascii="Times New Roman Bold" w:hAnsi="Times New Roman Bold" w:cs="Times New Roman Bold"/>
          <w:b/>
          <w:bCs/>
          <w:lang w:val="en-US"/>
        </w:rPr>
      </w:pPr>
      <w:r>
        <w:rPr>
          <w:b/>
          <w:bCs/>
          <w:lang w:eastAsia="zh-CN"/>
        </w:rPr>
        <w:t xml:space="preserve">Proposal 2: </w:t>
      </w:r>
      <w:r>
        <w:rPr>
          <w:rFonts w:hint="eastAsia"/>
          <w:b/>
          <w:bCs/>
          <w:lang w:eastAsia="zh-CN"/>
        </w:rPr>
        <w:t>The</w:t>
      </w:r>
      <w:r>
        <w:rPr>
          <w:b/>
          <w:bCs/>
          <w:lang w:eastAsia="zh-CN"/>
        </w:rPr>
        <w:t xml:space="preserve"> prediction of CSI via </w:t>
      </w:r>
      <w:r>
        <w:rPr>
          <w:rFonts w:hint="eastAsia"/>
          <w:b/>
          <w:bCs/>
          <w:lang w:eastAsia="zh-CN"/>
        </w:rPr>
        <w:t>the</w:t>
      </w:r>
      <w:r>
        <w:rPr>
          <w:b/>
          <w:bCs/>
          <w:lang w:eastAsia="zh-CN"/>
        </w:rPr>
        <w:t xml:space="preserve"> fusion of CSI feedback and SRS supports two operation modes: (1) long-window mode wi</w:t>
      </w:r>
      <w:r>
        <w:rPr>
          <w:b/>
          <w:bCs/>
          <w:lang w:eastAsia="zh-CN"/>
        </w:rPr>
        <w:t xml:space="preserve">th historical CSI and SRS, (2) </w:t>
      </w:r>
      <w:r>
        <w:rPr>
          <w:rFonts w:hint="eastAsia"/>
          <w:b/>
          <w:bCs/>
          <w:lang w:val="en-US" w:eastAsia="zh-CN"/>
        </w:rPr>
        <w:t>c</w:t>
      </w:r>
      <w:proofErr w:type="spellStart"/>
      <w:r>
        <w:rPr>
          <w:b/>
          <w:bCs/>
          <w:lang w:eastAsia="zh-CN"/>
        </w:rPr>
        <w:t>ontinuous</w:t>
      </w:r>
      <w:proofErr w:type="spellEnd"/>
      <w:r>
        <w:rPr>
          <w:b/>
          <w:bCs/>
          <w:lang w:eastAsia="zh-CN"/>
        </w:rPr>
        <w:t xml:space="preserve"> prediction mode, where the AI/ML model is updated with newly obtained SRS reports (periodic or aperiodic).</w:t>
      </w:r>
    </w:p>
    <w:p w14:paraId="403A90CE" w14:textId="77777777" w:rsidR="00B84A52" w:rsidRDefault="00C02984">
      <w:pPr>
        <w:pStyle w:val="4"/>
        <w:numPr>
          <w:ilvl w:val="3"/>
          <w:numId w:val="7"/>
        </w:numPr>
      </w:pPr>
      <w:r>
        <w:t>Long-window prediction</w:t>
      </w:r>
      <w:r>
        <w:rPr>
          <w:rFonts w:hint="eastAsia"/>
        </w:rPr>
        <w:t xml:space="preserve"> (Mode 1)</w:t>
      </w:r>
    </w:p>
    <w:p w14:paraId="21D21005" w14:textId="77777777" w:rsidR="00B84A52" w:rsidRDefault="00C02984">
      <w:pPr>
        <w:jc w:val="both"/>
      </w:pPr>
      <w:r>
        <w:t xml:space="preserve">In this </w:t>
      </w:r>
      <w:r>
        <w:rPr>
          <w:rFonts w:hint="eastAsia"/>
          <w:lang w:val="en-US" w:eastAsia="zh-CN"/>
        </w:rPr>
        <w:t>mode</w:t>
      </w:r>
      <w:r>
        <w:t>, the system relies primarily on historical CSI feedback and pr</w:t>
      </w:r>
      <w:r>
        <w:t xml:space="preserve">eviously received SRS signals. During the prediction phase, only a limited number of monitoring CSI-RS/feedback are used. The </w:t>
      </w:r>
      <w:r>
        <w:rPr>
          <w:lang w:val="en-US" w:eastAsia="zh-CN"/>
        </w:rPr>
        <w:t>NW</w:t>
      </w:r>
      <w:r>
        <w:t xml:space="preserve"> performs long-horizon CSI prediction without continuously incorporating new SRS signals. This approach minimizes UE overhead wh</w:t>
      </w:r>
      <w:r>
        <w:t>ile maintaining adequate prediction accuracy under moderately dynamic channel conditions.</w:t>
      </w:r>
    </w:p>
    <w:p w14:paraId="12BD59D9" w14:textId="77777777" w:rsidR="00B84A52" w:rsidRDefault="00C02984">
      <w:pPr>
        <w:jc w:val="center"/>
      </w:pPr>
      <w:r>
        <w:rPr>
          <w:noProof/>
        </w:rPr>
        <w:drawing>
          <wp:inline distT="0" distB="0" distL="114300" distR="114300">
            <wp:extent cx="4135755" cy="2592070"/>
            <wp:effectExtent l="0" t="0" r="4445" b="241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135755" cy="2592070"/>
                    </a:xfrm>
                    <a:prstGeom prst="rect">
                      <a:avLst/>
                    </a:prstGeom>
                    <a:noFill/>
                    <a:ln>
                      <a:noFill/>
                    </a:ln>
                  </pic:spPr>
                </pic:pic>
              </a:graphicData>
            </a:graphic>
          </wp:inline>
        </w:drawing>
      </w:r>
    </w:p>
    <w:p w14:paraId="052C9EFF" w14:textId="77777777" w:rsidR="00B84A52" w:rsidRDefault="00C02984">
      <w:pPr>
        <w:pStyle w:val="a3"/>
        <w:jc w:val="center"/>
        <w:rPr>
          <w:lang w:eastAsia="zh-CN"/>
        </w:rPr>
      </w:pPr>
      <w:r>
        <w:t xml:space="preserve">Figure </w:t>
      </w:r>
      <w:r>
        <w:fldChar w:fldCharType="begin"/>
      </w:r>
      <w:r>
        <w:instrText xml:space="preserve"> SEQ Figure_ \* ARABIC </w:instrText>
      </w:r>
      <w:r>
        <w:fldChar w:fldCharType="separate"/>
      </w:r>
      <w:r>
        <w:t>2</w:t>
      </w:r>
      <w:r>
        <w:fldChar w:fldCharType="end"/>
      </w:r>
      <w:r>
        <w:t>: Mode 1 Diagram</w:t>
      </w:r>
    </w:p>
    <w:p w14:paraId="1BDC42DA" w14:textId="77777777" w:rsidR="00B84A52" w:rsidRDefault="00C02984">
      <w:pPr>
        <w:pStyle w:val="4"/>
        <w:numPr>
          <w:ilvl w:val="3"/>
          <w:numId w:val="7"/>
        </w:numPr>
      </w:pPr>
      <w:r>
        <w:rPr>
          <w:rFonts w:hint="eastAsia"/>
        </w:rPr>
        <w:t>Continuous Prediction (Mode 2)</w:t>
      </w:r>
    </w:p>
    <w:p w14:paraId="6BFD7118" w14:textId="77777777" w:rsidR="00B84A52" w:rsidRDefault="00C02984">
      <w:pPr>
        <w:jc w:val="both"/>
      </w:pPr>
      <w:r>
        <w:t xml:space="preserve">In high-mobility or rapidly time-varying channels, periodic SRS transmissions from the UE are continuously utilized at the </w:t>
      </w:r>
      <w:r>
        <w:rPr>
          <w:lang w:val="en-US" w:eastAsia="zh-CN"/>
        </w:rPr>
        <w:t>NW</w:t>
      </w:r>
      <w:r>
        <w:t xml:space="preserve"> as model inputs. Each newly received SRS measurement updates the prediction model, enabling near real-time CSI prediction. This mo</w:t>
      </w:r>
      <w:r>
        <w:t>de ensures improved robustness and higher prediction precision, albeit with more frequent SRS usage.</w:t>
      </w:r>
    </w:p>
    <w:p w14:paraId="74E8A5FE" w14:textId="77777777" w:rsidR="00B84A52" w:rsidRDefault="00C02984">
      <w:pPr>
        <w:jc w:val="center"/>
      </w:pPr>
      <w:r>
        <w:rPr>
          <w:noProof/>
        </w:rPr>
        <w:drawing>
          <wp:inline distT="0" distB="0" distL="114300" distR="114300">
            <wp:extent cx="4010660" cy="2471420"/>
            <wp:effectExtent l="0" t="0" r="2540"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010660" cy="2471420"/>
                    </a:xfrm>
                    <a:prstGeom prst="rect">
                      <a:avLst/>
                    </a:prstGeom>
                    <a:noFill/>
                    <a:ln>
                      <a:noFill/>
                    </a:ln>
                  </pic:spPr>
                </pic:pic>
              </a:graphicData>
            </a:graphic>
          </wp:inline>
        </w:drawing>
      </w:r>
    </w:p>
    <w:p w14:paraId="1C350048" w14:textId="77777777" w:rsidR="00B84A52" w:rsidRDefault="00C02984">
      <w:pPr>
        <w:pStyle w:val="a3"/>
        <w:jc w:val="center"/>
        <w:rPr>
          <w:rFonts w:ascii="Arial" w:hAnsi="Arial"/>
          <w:sz w:val="32"/>
        </w:rPr>
      </w:pPr>
      <w:r>
        <w:t>Figure 3: Mode 2 Diagram</w:t>
      </w:r>
    </w:p>
    <w:p w14:paraId="38587923" w14:textId="77777777" w:rsidR="00B84A52" w:rsidRDefault="00C02984">
      <w:pPr>
        <w:pStyle w:val="3"/>
        <w:numPr>
          <w:ilvl w:val="2"/>
          <w:numId w:val="1"/>
        </w:numPr>
      </w:pPr>
      <w:r>
        <w:rPr>
          <w:rFonts w:hint="eastAsia"/>
        </w:rPr>
        <w:lastRenderedPageBreak/>
        <w:t>Adaptive SRS Periodicity Mechanism</w:t>
      </w:r>
    </w:p>
    <w:p w14:paraId="352C0949" w14:textId="77777777" w:rsidR="00B84A52" w:rsidRDefault="00C02984">
      <w:pPr>
        <w:pStyle w:val="ae"/>
        <w:spacing w:beforeAutospacing="1" w:after="0" w:afterAutospacing="1"/>
        <w:jc w:val="both"/>
        <w:rPr>
          <w:sz w:val="20"/>
          <w:szCs w:val="20"/>
        </w:rPr>
      </w:pPr>
      <w:r>
        <w:rPr>
          <w:sz w:val="20"/>
          <w:szCs w:val="20"/>
        </w:rPr>
        <w:t xml:space="preserve">A monitoring mechanism is introduced to dynamically adjust SRS usage, as shown in </w:t>
      </w:r>
      <w:r>
        <w:rPr>
          <w:rFonts w:ascii="Times New Roman Bold" w:hAnsi="Times New Roman Bold" w:cs="Times New Roman Bold"/>
          <w:b/>
          <w:bCs/>
          <w:sz w:val="20"/>
          <w:szCs w:val="20"/>
        </w:rPr>
        <w:t>Fig</w:t>
      </w:r>
      <w:proofErr w:type="spellStart"/>
      <w:r>
        <w:rPr>
          <w:rFonts w:ascii="Times New Roman Bold" w:hAnsi="Times New Roman Bold" w:cs="Times New Roman Bold"/>
          <w:b/>
          <w:bCs/>
          <w:sz w:val="20"/>
          <w:szCs w:val="20"/>
          <w:lang w:val="en-US" w:eastAsia="zh-CN"/>
        </w:rPr>
        <w:t>ure</w:t>
      </w:r>
      <w:proofErr w:type="spellEnd"/>
      <w:r>
        <w:rPr>
          <w:rFonts w:ascii="Times New Roman Bold" w:hAnsi="Times New Roman Bold" w:cs="Times New Roman Bold"/>
          <w:b/>
          <w:bCs/>
          <w:sz w:val="20"/>
          <w:szCs w:val="20"/>
        </w:rPr>
        <w:t xml:space="preserve"> 2</w:t>
      </w:r>
      <w:r>
        <w:rPr>
          <w:sz w:val="20"/>
          <w:szCs w:val="20"/>
        </w:rPr>
        <w:t xml:space="preserve"> an</w:t>
      </w:r>
      <w:r>
        <w:rPr>
          <w:sz w:val="20"/>
          <w:szCs w:val="20"/>
        </w:rPr>
        <w:t xml:space="preserve">d </w:t>
      </w:r>
      <w:r>
        <w:rPr>
          <w:rFonts w:ascii="Times New Roman Bold" w:hAnsi="Times New Roman Bold" w:cs="Times New Roman Bold"/>
          <w:b/>
          <w:bCs/>
          <w:sz w:val="20"/>
          <w:szCs w:val="20"/>
        </w:rPr>
        <w:t>Fig</w:t>
      </w:r>
      <w:proofErr w:type="spellStart"/>
      <w:r>
        <w:rPr>
          <w:rFonts w:ascii="Times New Roman Bold" w:hAnsi="Times New Roman Bold" w:cs="Times New Roman Bold"/>
          <w:b/>
          <w:bCs/>
          <w:sz w:val="20"/>
          <w:szCs w:val="20"/>
          <w:lang w:val="en-US" w:eastAsia="zh-CN"/>
        </w:rPr>
        <w:t>ure</w:t>
      </w:r>
      <w:proofErr w:type="spellEnd"/>
      <w:r>
        <w:rPr>
          <w:rFonts w:ascii="Times New Roman Bold" w:hAnsi="Times New Roman Bold" w:cs="Times New Roman Bold"/>
          <w:b/>
          <w:bCs/>
          <w:sz w:val="20"/>
          <w:szCs w:val="20"/>
        </w:rPr>
        <w:t xml:space="preserve"> 3</w:t>
      </w:r>
      <w:r>
        <w:rPr>
          <w:sz w:val="20"/>
          <w:szCs w:val="20"/>
        </w:rPr>
        <w:t xml:space="preserve">. The </w:t>
      </w:r>
      <w:r>
        <w:rPr>
          <w:sz w:val="20"/>
          <w:szCs w:val="20"/>
          <w:lang w:val="en-US" w:eastAsia="zh-CN"/>
        </w:rPr>
        <w:t>NW</w:t>
      </w:r>
      <w:r>
        <w:rPr>
          <w:sz w:val="20"/>
          <w:szCs w:val="20"/>
        </w:rPr>
        <w:t xml:space="preserve"> periodically transmits monitoring CSI-RS and receives compressed CSI feedback, then compares the predicted CSI with measured CSI to evaluate error metrics such as MSE, NMSE, or CQI mismatch. According to multi-level thresholds, the syste</w:t>
      </w:r>
      <w:r>
        <w:rPr>
          <w:sz w:val="20"/>
          <w:szCs w:val="20"/>
        </w:rPr>
        <w:t xml:space="preserve">m adaptively switches between different prediction modes: when prediction accuracy is high, the </w:t>
      </w:r>
      <w:r>
        <w:rPr>
          <w:sz w:val="20"/>
          <w:szCs w:val="20"/>
          <w:lang w:val="en-US" w:eastAsia="zh-CN"/>
        </w:rPr>
        <w:t>NW</w:t>
      </w:r>
      <w:r>
        <w:rPr>
          <w:sz w:val="20"/>
          <w:szCs w:val="20"/>
        </w:rPr>
        <w:t xml:space="preserve"> relies on long-window prediction with sparse or historical SRS; when accuracy declines to a medium level, newly obtained SRS are continuously incorporated to</w:t>
      </w:r>
      <w:r>
        <w:rPr>
          <w:sz w:val="20"/>
          <w:szCs w:val="20"/>
        </w:rPr>
        <w:t xml:space="preserve"> refresh the prediction; and in cases of severe degradation, the </w:t>
      </w:r>
      <w:r>
        <w:rPr>
          <w:sz w:val="20"/>
          <w:szCs w:val="20"/>
          <w:lang w:val="en-US" w:eastAsia="zh-CN"/>
        </w:rPr>
        <w:t>NW</w:t>
      </w:r>
      <w:r>
        <w:rPr>
          <w:sz w:val="20"/>
          <w:szCs w:val="20"/>
        </w:rPr>
        <w:t xml:space="preserve"> triggers an aperiodic SRS request via DCI for rapid correction. Once the error stabilizes above the thresholds, the system gradually returns to sparse or long-window modes. This adaptive m</w:t>
      </w:r>
      <w:r>
        <w:rPr>
          <w:sz w:val="20"/>
          <w:szCs w:val="20"/>
        </w:rPr>
        <w:t>echanism maintains a balance between prediction accuracy, uplink overhead, and UE power consumption, ensuring robust CSI prediction across diverse mobility scenarios.</w:t>
      </w:r>
    </w:p>
    <w:p w14:paraId="756CF9A0" w14:textId="251799B0" w:rsidR="00B84A52" w:rsidRDefault="00C02984">
      <w:pPr>
        <w:pStyle w:val="ae"/>
        <w:spacing w:beforeAutospacing="1" w:after="0" w:afterAutospacing="1"/>
        <w:jc w:val="both"/>
        <w:rPr>
          <w:rFonts w:ascii="Times New Roman Bold" w:hAnsi="Times New Roman Bold" w:cs="Times New Roman Bold"/>
          <w:b/>
          <w:bCs/>
          <w:sz w:val="20"/>
          <w:szCs w:val="20"/>
        </w:rPr>
      </w:pPr>
      <w:r>
        <w:rPr>
          <w:rFonts w:ascii="Times New Roman Bold" w:hAnsi="Times New Roman Bold" w:cs="Times New Roman Bold"/>
          <w:b/>
          <w:bCs/>
          <w:sz w:val="20"/>
          <w:szCs w:val="20"/>
        </w:rPr>
        <w:t xml:space="preserve">Observation </w:t>
      </w:r>
      <w:r>
        <w:rPr>
          <w:rFonts w:ascii="Times New Roman Bold" w:hAnsi="Times New Roman Bold" w:cs="Times New Roman Bold" w:hint="eastAsia"/>
          <w:b/>
          <w:bCs/>
          <w:sz w:val="20"/>
          <w:szCs w:val="20"/>
          <w:lang w:val="en-US" w:eastAsia="zh-CN"/>
        </w:rPr>
        <w:t>1</w:t>
      </w:r>
      <w:r>
        <w:rPr>
          <w:rFonts w:ascii="Times New Roman Bold" w:hAnsi="Times New Roman Bold" w:cs="Times New Roman Bold"/>
          <w:b/>
          <w:bCs/>
          <w:sz w:val="20"/>
          <w:szCs w:val="20"/>
        </w:rPr>
        <w:t>: The ability to trigger aperiodic SRS based on real-time prediction perfor</w:t>
      </w:r>
      <w:r>
        <w:rPr>
          <w:rFonts w:ascii="Times New Roman Bold" w:hAnsi="Times New Roman Bold" w:cs="Times New Roman Bold"/>
          <w:b/>
          <w:bCs/>
          <w:sz w:val="20"/>
          <w:szCs w:val="20"/>
        </w:rPr>
        <w:t>mance introduces a form of closed-loop adaptation — avoiding unnecessary SRS when the channel is stable, while ensuring additional measurements when the channel degrades.</w:t>
      </w:r>
    </w:p>
    <w:p w14:paraId="70B17398" w14:textId="156FC0FE" w:rsidR="00B84A52" w:rsidRDefault="00C02984">
      <w:pPr>
        <w:pStyle w:val="ae"/>
        <w:spacing w:beforeAutospacing="1" w:after="0" w:afterAutospacing="1"/>
        <w:jc w:val="both"/>
        <w:rPr>
          <w:rFonts w:ascii="Times New Roman Bold" w:hAnsi="Times New Roman Bold" w:cs="Times New Roman Bold"/>
          <w:b/>
          <w:bCs/>
          <w:sz w:val="20"/>
          <w:szCs w:val="20"/>
        </w:rPr>
      </w:pPr>
      <w:r>
        <w:rPr>
          <w:rFonts w:ascii="Times New Roman Bold" w:hAnsi="Times New Roman Bold" w:cs="Times New Roman Bold"/>
          <w:b/>
          <w:bCs/>
          <w:sz w:val="20"/>
          <w:szCs w:val="20"/>
        </w:rPr>
        <w:t xml:space="preserve">Observation </w:t>
      </w:r>
      <w:r>
        <w:rPr>
          <w:rFonts w:ascii="Times New Roman Bold" w:hAnsi="Times New Roman Bold" w:cs="Times New Roman Bold" w:hint="eastAsia"/>
          <w:b/>
          <w:bCs/>
          <w:sz w:val="20"/>
          <w:szCs w:val="20"/>
          <w:lang w:val="en-US" w:eastAsia="zh-CN"/>
        </w:rPr>
        <w:t>2</w:t>
      </w:r>
      <w:r>
        <w:rPr>
          <w:rFonts w:ascii="Times New Roman Bold" w:hAnsi="Times New Roman Bold" w:cs="Times New Roman Bold"/>
          <w:b/>
          <w:bCs/>
          <w:sz w:val="20"/>
          <w:szCs w:val="20"/>
        </w:rPr>
        <w:t xml:space="preserve">: In slowly varying or quasi-static environments, frequent SRS reports </w:t>
      </w:r>
      <w:r>
        <w:rPr>
          <w:rFonts w:ascii="Times New Roman Bold" w:hAnsi="Times New Roman Bold" w:cs="Times New Roman Bold"/>
          <w:b/>
          <w:bCs/>
          <w:sz w:val="20"/>
          <w:szCs w:val="20"/>
        </w:rPr>
        <w:t>contribute diminishing returns; hence, adaptive triggering is essential to prevent uplink overhead waste and maintain system efficiency.</w:t>
      </w:r>
    </w:p>
    <w:p w14:paraId="62AC93D0" w14:textId="77777777" w:rsidR="00B84A52" w:rsidRDefault="00C02984">
      <w:pPr>
        <w:pStyle w:val="ae"/>
        <w:spacing w:beforeAutospacing="1" w:after="0" w:afterAutospacing="1"/>
        <w:jc w:val="both"/>
        <w:rPr>
          <w:rFonts w:ascii="Times New Roman Bold" w:hAnsi="Times New Roman Bold" w:cs="Times New Roman Bold"/>
          <w:b/>
          <w:bCs/>
          <w:sz w:val="20"/>
          <w:szCs w:val="20"/>
        </w:rPr>
      </w:pPr>
      <w:r>
        <w:rPr>
          <w:rFonts w:ascii="Times New Roman Bold" w:hAnsi="Times New Roman Bold" w:cs="Times New Roman Bold"/>
          <w:b/>
          <w:bCs/>
          <w:sz w:val="20"/>
          <w:szCs w:val="20"/>
        </w:rPr>
        <w:t>Proposal 3: Introduce adaptive SRS periodicity; trigger aperiodic SRS via DCI when accuracy degrades, then return to sp</w:t>
      </w:r>
      <w:r>
        <w:rPr>
          <w:rFonts w:ascii="Times New Roman Bold" w:hAnsi="Times New Roman Bold" w:cs="Times New Roman Bold"/>
          <w:b/>
          <w:bCs/>
          <w:sz w:val="20"/>
          <w:szCs w:val="20"/>
        </w:rPr>
        <w:t>arse/periodic configuration.</w:t>
      </w:r>
    </w:p>
    <w:p w14:paraId="11AF8DAC" w14:textId="77777777" w:rsidR="00B84A52" w:rsidRDefault="00C02984">
      <w:pPr>
        <w:pStyle w:val="1"/>
        <w:numPr>
          <w:ilvl w:val="0"/>
          <w:numId w:val="1"/>
        </w:numPr>
      </w:pPr>
      <w:r>
        <w:rPr>
          <w:rFonts w:hint="eastAsia"/>
        </w:rPr>
        <w:t>Summary</w:t>
      </w:r>
      <w:r>
        <w:t xml:space="preserve"> </w:t>
      </w:r>
    </w:p>
    <w:p w14:paraId="61915C33" w14:textId="67F63A74" w:rsidR="00B84A52" w:rsidRDefault="00C02984">
      <w:pPr>
        <w:pStyle w:val="ae"/>
        <w:spacing w:beforeAutospacing="1" w:after="0" w:afterAutospacing="1"/>
        <w:jc w:val="both"/>
        <w:rPr>
          <w:rFonts w:ascii="Times New Roman Bold" w:hAnsi="Times New Roman Bold" w:cs="Times New Roman Bold"/>
          <w:b/>
          <w:bCs/>
          <w:sz w:val="20"/>
          <w:szCs w:val="20"/>
        </w:rPr>
      </w:pPr>
      <w:r>
        <w:rPr>
          <w:rFonts w:ascii="Times New Roman Bold" w:hAnsi="Times New Roman Bold" w:cs="Times New Roman Bold"/>
          <w:b/>
          <w:bCs/>
          <w:sz w:val="20"/>
          <w:szCs w:val="20"/>
        </w:rPr>
        <w:t xml:space="preserve">Observation </w:t>
      </w:r>
      <w:r>
        <w:rPr>
          <w:rFonts w:ascii="Times New Roman Bold" w:hAnsi="Times New Roman Bold" w:cs="Times New Roman Bold" w:hint="eastAsia"/>
          <w:b/>
          <w:bCs/>
          <w:sz w:val="20"/>
          <w:szCs w:val="20"/>
          <w:lang w:val="en-US" w:eastAsia="zh-CN"/>
        </w:rPr>
        <w:t>1</w:t>
      </w:r>
      <w:r>
        <w:rPr>
          <w:rFonts w:ascii="Times New Roman Bold" w:hAnsi="Times New Roman Bold" w:cs="Times New Roman Bold"/>
          <w:b/>
          <w:bCs/>
          <w:sz w:val="20"/>
          <w:szCs w:val="20"/>
        </w:rPr>
        <w:t>: The ability to trigger aperiodic SRS based on real-time prediction performance introduces a form of closed-loop adaptation — avoiding unnecessary SRS when the channel is stable, while ensuring additional measurements when the channel degrad</w:t>
      </w:r>
      <w:r>
        <w:rPr>
          <w:rFonts w:ascii="Times New Roman Bold" w:hAnsi="Times New Roman Bold" w:cs="Times New Roman Bold"/>
          <w:b/>
          <w:bCs/>
          <w:sz w:val="20"/>
          <w:szCs w:val="20"/>
        </w:rPr>
        <w:t>es.</w:t>
      </w:r>
    </w:p>
    <w:p w14:paraId="208AEBA4" w14:textId="6C2D68BA" w:rsidR="00B84A52" w:rsidRDefault="00C02984">
      <w:pPr>
        <w:pStyle w:val="ae"/>
        <w:spacing w:beforeAutospacing="1" w:after="0" w:afterAutospacing="1"/>
        <w:jc w:val="both"/>
        <w:rPr>
          <w:rFonts w:ascii="Times New Roman Bold" w:hAnsi="Times New Roman Bold" w:cs="Times New Roman Bold"/>
          <w:b/>
          <w:bCs/>
          <w:sz w:val="20"/>
          <w:szCs w:val="20"/>
        </w:rPr>
      </w:pPr>
      <w:r>
        <w:rPr>
          <w:rFonts w:ascii="Times New Roman Bold" w:hAnsi="Times New Roman Bold" w:cs="Times New Roman Bold"/>
          <w:b/>
          <w:bCs/>
          <w:sz w:val="20"/>
          <w:szCs w:val="20"/>
        </w:rPr>
        <w:t xml:space="preserve">Observation </w:t>
      </w:r>
      <w:r>
        <w:rPr>
          <w:rFonts w:ascii="Times New Roman Bold" w:hAnsi="Times New Roman Bold" w:cs="Times New Roman Bold" w:hint="eastAsia"/>
          <w:b/>
          <w:bCs/>
          <w:sz w:val="20"/>
          <w:szCs w:val="20"/>
          <w:lang w:val="en-US" w:eastAsia="zh-CN"/>
        </w:rPr>
        <w:t>2</w:t>
      </w:r>
      <w:r>
        <w:rPr>
          <w:rFonts w:ascii="Times New Roman Bold" w:hAnsi="Times New Roman Bold" w:cs="Times New Roman Bold"/>
          <w:b/>
          <w:bCs/>
          <w:sz w:val="20"/>
          <w:szCs w:val="20"/>
        </w:rPr>
        <w:t>: In slowly varying or quasi-static environments, frequent SRS reports contribute diminishing returns; hence, adaptive triggering is essential to prevent uplink overhead waste and maintain system efficiency.</w:t>
      </w:r>
    </w:p>
    <w:p w14:paraId="0C7EC7A0" w14:textId="77777777" w:rsidR="00B84A52" w:rsidRDefault="00C02984">
      <w:pPr>
        <w:pStyle w:val="ae"/>
        <w:spacing w:beforeAutospacing="1" w:after="0" w:afterAutospacing="1"/>
        <w:jc w:val="both"/>
        <w:rPr>
          <w:rFonts w:ascii="Times New Roman Bold" w:hAnsi="Times New Roman Bold" w:cs="Times New Roman Bold"/>
          <w:b/>
          <w:bCs/>
          <w:sz w:val="20"/>
          <w:szCs w:val="20"/>
          <w:lang w:eastAsia="zh-CN"/>
        </w:rPr>
      </w:pPr>
      <w:r>
        <w:rPr>
          <w:rFonts w:ascii="Times New Roman Bold" w:hAnsi="Times New Roman Bold" w:cs="Times New Roman Bold"/>
          <w:b/>
          <w:bCs/>
          <w:sz w:val="20"/>
          <w:szCs w:val="20"/>
          <w:lang w:eastAsia="zh-CN"/>
        </w:rPr>
        <w:t xml:space="preserve">Proposal 1: Fuse CSI feedback </w:t>
      </w:r>
      <w:r>
        <w:rPr>
          <w:rFonts w:ascii="Times New Roman Bold" w:hAnsi="Times New Roman Bold" w:cs="Times New Roman Bold"/>
          <w:b/>
          <w:bCs/>
          <w:sz w:val="20"/>
          <w:szCs w:val="20"/>
          <w:lang w:eastAsia="zh-CN"/>
        </w:rPr>
        <w:t>and SRS as AI/ML inputs, leveraging temporal continuity (feedback) and high-resolution spatial–frequency detail (SRS) to predict future downlink CSI.</w:t>
      </w:r>
    </w:p>
    <w:p w14:paraId="63360AA2" w14:textId="77777777" w:rsidR="00B84A52" w:rsidRDefault="00C02984">
      <w:pPr>
        <w:rPr>
          <w:rFonts w:ascii="Times New Roman Bold" w:hAnsi="Times New Roman Bold" w:cs="Times New Roman Bold"/>
          <w:b/>
          <w:bCs/>
          <w:lang w:val="en-US"/>
        </w:rPr>
      </w:pPr>
      <w:r>
        <w:rPr>
          <w:b/>
          <w:bCs/>
          <w:lang w:eastAsia="zh-CN"/>
        </w:rPr>
        <w:t xml:space="preserve">Proposal 2: </w:t>
      </w:r>
      <w:r>
        <w:rPr>
          <w:rFonts w:hint="eastAsia"/>
          <w:b/>
          <w:bCs/>
          <w:lang w:eastAsia="zh-CN"/>
        </w:rPr>
        <w:t>The</w:t>
      </w:r>
      <w:r>
        <w:rPr>
          <w:b/>
          <w:bCs/>
          <w:lang w:eastAsia="zh-CN"/>
        </w:rPr>
        <w:t xml:space="preserve"> prediction of CSI via </w:t>
      </w:r>
      <w:r>
        <w:rPr>
          <w:rFonts w:hint="eastAsia"/>
          <w:b/>
          <w:bCs/>
          <w:lang w:eastAsia="zh-CN"/>
        </w:rPr>
        <w:t>the</w:t>
      </w:r>
      <w:r>
        <w:rPr>
          <w:b/>
          <w:bCs/>
          <w:lang w:eastAsia="zh-CN"/>
        </w:rPr>
        <w:t xml:space="preserve"> fusion of CSI feedback and SRS supports two operation modes: (1) long-window mode with historical CSI and SRS, (2) </w:t>
      </w:r>
      <w:r>
        <w:rPr>
          <w:rFonts w:hint="eastAsia"/>
          <w:b/>
          <w:bCs/>
          <w:lang w:val="en-US" w:eastAsia="zh-CN"/>
        </w:rPr>
        <w:t>c</w:t>
      </w:r>
      <w:proofErr w:type="spellStart"/>
      <w:r>
        <w:rPr>
          <w:b/>
          <w:bCs/>
          <w:lang w:eastAsia="zh-CN"/>
        </w:rPr>
        <w:t>ontinuous</w:t>
      </w:r>
      <w:proofErr w:type="spellEnd"/>
      <w:r>
        <w:rPr>
          <w:b/>
          <w:bCs/>
          <w:lang w:eastAsia="zh-CN"/>
        </w:rPr>
        <w:t xml:space="preserve"> prediction mode, where the AI/ML model is updated with newly obtained SRS reports (periodic or aperiodic).</w:t>
      </w:r>
    </w:p>
    <w:p w14:paraId="76BCFED1" w14:textId="77777777" w:rsidR="00B84A52" w:rsidRDefault="00B84A52">
      <w:pPr>
        <w:pStyle w:val="ae"/>
        <w:spacing w:beforeAutospacing="1" w:after="0" w:afterAutospacing="1"/>
        <w:jc w:val="both"/>
        <w:rPr>
          <w:rFonts w:ascii="Times New Roman Bold" w:hAnsi="Times New Roman Bold" w:cs="Times New Roman Bold"/>
          <w:b/>
          <w:bCs/>
          <w:sz w:val="20"/>
          <w:szCs w:val="20"/>
        </w:rPr>
      </w:pPr>
    </w:p>
    <w:p w14:paraId="4B8892E2" w14:textId="77777777" w:rsidR="00B84A52" w:rsidRDefault="00C02984">
      <w:pPr>
        <w:pStyle w:val="ae"/>
        <w:spacing w:beforeAutospacing="1" w:after="0" w:afterAutospacing="1"/>
        <w:jc w:val="both"/>
        <w:rPr>
          <w:rFonts w:ascii="Times New Roman Bold" w:hAnsi="Times New Roman Bold" w:cs="Times New Roman Bold"/>
          <w:b/>
          <w:bCs/>
        </w:rPr>
      </w:pPr>
      <w:r>
        <w:rPr>
          <w:rFonts w:ascii="Times New Roman Bold" w:hAnsi="Times New Roman Bold" w:cs="Times New Roman Bold"/>
          <w:b/>
          <w:bCs/>
          <w:sz w:val="20"/>
          <w:szCs w:val="20"/>
        </w:rPr>
        <w:t>Proposal 3: Introduce</w:t>
      </w:r>
      <w:r>
        <w:rPr>
          <w:rFonts w:ascii="Times New Roman Bold" w:hAnsi="Times New Roman Bold" w:cs="Times New Roman Bold"/>
          <w:b/>
          <w:bCs/>
          <w:sz w:val="20"/>
          <w:szCs w:val="20"/>
        </w:rPr>
        <w:t xml:space="preserve"> adaptive SRS periodicity; trigger aperiodic SRS via DCI when accuracy degrades, then return to sparse/periodic configuration.</w:t>
      </w:r>
    </w:p>
    <w:p w14:paraId="5177C4CA" w14:textId="77777777" w:rsidR="00B84A52" w:rsidRDefault="00C02984">
      <w:pPr>
        <w:pStyle w:val="1"/>
      </w:pPr>
      <w:r>
        <w:t>References</w:t>
      </w:r>
    </w:p>
    <w:p w14:paraId="7AC5474E" w14:textId="77777777" w:rsidR="00B84A52" w:rsidRDefault="00C02984">
      <w:pPr>
        <w:pStyle w:val="af5"/>
        <w:numPr>
          <w:ilvl w:val="0"/>
          <w:numId w:val="8"/>
        </w:numPr>
        <w:spacing w:before="100" w:beforeAutospacing="1" w:after="0"/>
        <w:ind w:left="714" w:hanging="357"/>
      </w:pPr>
      <w:r>
        <w:rPr>
          <w:rFonts w:hint="eastAsia"/>
          <w:lang w:eastAsia="zh-CN"/>
        </w:rPr>
        <w:t xml:space="preserve">3GPP TSG RAN#108, RP-251881, </w:t>
      </w:r>
      <w:r>
        <w:rPr>
          <w:rFonts w:hint="eastAsia"/>
          <w:lang w:eastAsia="zh-CN"/>
        </w:rPr>
        <w:t>“</w:t>
      </w:r>
      <w:r>
        <w:rPr>
          <w:rFonts w:hint="eastAsia"/>
          <w:lang w:eastAsia="zh-CN"/>
        </w:rPr>
        <w:t>New SID: Study on 6G Radio,</w:t>
      </w:r>
      <w:r>
        <w:rPr>
          <w:rFonts w:hint="eastAsia"/>
          <w:lang w:eastAsia="zh-CN"/>
        </w:rPr>
        <w:t>”</w:t>
      </w:r>
      <w:r>
        <w:rPr>
          <w:rFonts w:hint="eastAsia"/>
          <w:lang w:eastAsia="zh-CN"/>
        </w:rPr>
        <w:t xml:space="preserve"> Prague, Czech Republic, May 2025.</w:t>
      </w:r>
    </w:p>
    <w:p w14:paraId="7D4D77F0" w14:textId="77777777" w:rsidR="00B84A52" w:rsidRDefault="00C02984">
      <w:pPr>
        <w:pStyle w:val="af5"/>
        <w:numPr>
          <w:ilvl w:val="0"/>
          <w:numId w:val="8"/>
        </w:numPr>
        <w:spacing w:before="100" w:beforeAutospacing="1" w:after="0"/>
        <w:ind w:left="714" w:hanging="357"/>
      </w:pPr>
      <w:r>
        <w:rPr>
          <w:rFonts w:hint="eastAsia"/>
        </w:rPr>
        <w:t>3GPP TSG RAN1#122, Chair</w:t>
      </w:r>
      <w:r>
        <w:rPr>
          <w:rFonts w:hint="eastAsia"/>
        </w:rPr>
        <w:t>’</w:t>
      </w:r>
      <w:r>
        <w:rPr>
          <w:rFonts w:hint="eastAsia"/>
        </w:rPr>
        <w:t>s Notes, Bengaluru, India, Aug. 25</w:t>
      </w:r>
      <w:r>
        <w:rPr>
          <w:rFonts w:hint="eastAsia"/>
        </w:rPr>
        <w:t>–</w:t>
      </w:r>
      <w:r>
        <w:rPr>
          <w:rFonts w:hint="eastAsia"/>
        </w:rPr>
        <w:t>29, 2025.</w:t>
      </w:r>
    </w:p>
    <w:p w14:paraId="1FFF3517" w14:textId="77777777" w:rsidR="00B84A52" w:rsidRDefault="00C02984">
      <w:pPr>
        <w:pStyle w:val="af5"/>
        <w:numPr>
          <w:ilvl w:val="0"/>
          <w:numId w:val="8"/>
        </w:numPr>
        <w:spacing w:before="100" w:beforeAutospacing="1" w:after="0"/>
        <w:ind w:left="714" w:hanging="357"/>
      </w:pPr>
      <w:r>
        <w:rPr>
          <w:rFonts w:hint="eastAsia"/>
        </w:rPr>
        <w:t>3GPP TSG RAN1#122, R1-250</w:t>
      </w:r>
      <w:r>
        <w:rPr>
          <w:rFonts w:hint="eastAsia"/>
          <w:lang w:val="en-US" w:eastAsia="zh-CN"/>
        </w:rPr>
        <w:t>6456</w:t>
      </w:r>
      <w:r>
        <w:rPr>
          <w:rFonts w:hint="eastAsia"/>
        </w:rPr>
        <w:t xml:space="preserve">, </w:t>
      </w:r>
      <w:r>
        <w:rPr>
          <w:rFonts w:hint="eastAsia"/>
        </w:rPr>
        <w:t>“</w:t>
      </w:r>
      <w:r>
        <w:rPr>
          <w:rFonts w:hint="eastAsia"/>
        </w:rPr>
        <w:t>Moderator summary #1 on AI/ML for 6GR,</w:t>
      </w:r>
      <w:r>
        <w:rPr>
          <w:rFonts w:hint="eastAsia"/>
        </w:rPr>
        <w:t>”</w:t>
      </w:r>
      <w:r>
        <w:rPr>
          <w:rFonts w:hint="eastAsia"/>
        </w:rPr>
        <w:t xml:space="preserve"> Samsung, Bengaluru, India, Aug. 2025.</w:t>
      </w:r>
    </w:p>
    <w:p w14:paraId="1CA4736C" w14:textId="77777777" w:rsidR="00B84A52" w:rsidRDefault="00C02984">
      <w:pPr>
        <w:pStyle w:val="af5"/>
        <w:numPr>
          <w:ilvl w:val="0"/>
          <w:numId w:val="8"/>
        </w:numPr>
        <w:spacing w:before="100" w:beforeAutospacing="1" w:after="0"/>
        <w:ind w:left="714" w:hanging="357"/>
      </w:pPr>
      <w:r>
        <w:rPr>
          <w:rFonts w:hint="eastAsia"/>
        </w:rPr>
        <w:t xml:space="preserve">3GPP TSG RAN1#122, R1-2506223, </w:t>
      </w:r>
      <w:r>
        <w:rPr>
          <w:rFonts w:hint="eastAsia"/>
        </w:rPr>
        <w:t>“</w:t>
      </w:r>
      <w:r>
        <w:rPr>
          <w:rFonts w:hint="eastAsia"/>
        </w:rPr>
        <w:t>AI/ML in 6GR air interface,</w:t>
      </w:r>
      <w:r>
        <w:rPr>
          <w:rFonts w:hint="eastAsia"/>
        </w:rPr>
        <w:t>”</w:t>
      </w:r>
      <w:r>
        <w:rPr>
          <w:rFonts w:hint="eastAsia"/>
        </w:rPr>
        <w:t xml:space="preserve"> Qualcomm Incorporated, Bangalore, India,</w:t>
      </w:r>
      <w:r>
        <w:rPr>
          <w:rFonts w:hint="eastAsia"/>
        </w:rPr>
        <w:t xml:space="preserve"> Aug. 2025.</w:t>
      </w:r>
    </w:p>
    <w:p w14:paraId="6BECB552" w14:textId="77777777" w:rsidR="00B84A52" w:rsidRDefault="00C02984">
      <w:pPr>
        <w:pStyle w:val="af5"/>
        <w:numPr>
          <w:ilvl w:val="0"/>
          <w:numId w:val="8"/>
        </w:numPr>
        <w:spacing w:before="100" w:beforeAutospacing="1" w:after="0"/>
        <w:ind w:left="714" w:hanging="357"/>
      </w:pPr>
      <w:r>
        <w:rPr>
          <w:rFonts w:hint="eastAsia"/>
        </w:rPr>
        <w:t xml:space="preserve">3GPP TSG RAN1#122, R1-2505592, </w:t>
      </w:r>
      <w:r>
        <w:rPr>
          <w:rFonts w:hint="eastAsia"/>
        </w:rPr>
        <w:t>“</w:t>
      </w:r>
      <w:r>
        <w:rPr>
          <w:rFonts w:hint="eastAsia"/>
        </w:rPr>
        <w:t>AI and ML in 6GR air interface,</w:t>
      </w:r>
      <w:r>
        <w:rPr>
          <w:rFonts w:hint="eastAsia"/>
        </w:rPr>
        <w:t>”</w:t>
      </w:r>
      <w:r>
        <w:rPr>
          <w:rFonts w:hint="eastAsia"/>
        </w:rPr>
        <w:t xml:space="preserve"> NVIDIA, Bengaluru, India, Aug. 2025.</w:t>
      </w:r>
    </w:p>
    <w:sectPr w:rsidR="00B84A52">
      <w:footerReference w:type="default" r:id="rId1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A8A07" w14:textId="77777777" w:rsidR="00C02984" w:rsidRDefault="00C02984">
      <w:pPr>
        <w:spacing w:after="0"/>
      </w:pPr>
      <w:r>
        <w:separator/>
      </w:r>
    </w:p>
  </w:endnote>
  <w:endnote w:type="continuationSeparator" w:id="0">
    <w:p w14:paraId="465E41F5" w14:textId="77777777" w:rsidR="00C02984" w:rsidRDefault="00C02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w:panose1 w:val="02020803070505020304"/>
    <w:charset w:val="00"/>
    <w:family w:val="auto"/>
    <w:pitch w:val="default"/>
    <w:sig w:usb0="E0000AFF" w:usb1="00007843" w:usb2="00000001" w:usb3="00000000" w:csb0="400001BF" w:csb1="DFF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D7A7" w14:textId="77777777" w:rsidR="00B84A52" w:rsidRDefault="00C02984">
    <w:pPr>
      <w:pStyle w:val="aa"/>
    </w:pPr>
    <w:r>
      <w:fldChar w:fldCharType="begin"/>
    </w:r>
    <w:r>
      <w:instrText xml:space="preserve"> PAGE   \* MERGEFORMAT </w:instrText>
    </w:r>
    <w:r>
      <w:fldChar w:fldCharType="separate"/>
    </w:r>
    <w: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81A3F" w14:textId="77777777" w:rsidR="00C02984" w:rsidRDefault="00C02984">
      <w:pPr>
        <w:spacing w:after="0"/>
      </w:pPr>
      <w:r>
        <w:separator/>
      </w:r>
    </w:p>
  </w:footnote>
  <w:footnote w:type="continuationSeparator" w:id="0">
    <w:p w14:paraId="04633C87" w14:textId="77777777" w:rsidR="00C02984" w:rsidRDefault="00C029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9F637A9"/>
    <w:multiLevelType w:val="multilevel"/>
    <w:tmpl w:val="E9F637A9"/>
    <w:lvl w:ilvl="0">
      <w:start w:val="2"/>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0000000E"/>
    <w:multiLevelType w:val="multilevel"/>
    <w:tmpl w:val="000000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1BA7AA3"/>
    <w:multiLevelType w:val="multilevel"/>
    <w:tmpl w:val="31BA7AA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4"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527FB1"/>
    <w:multiLevelType w:val="multilevel"/>
    <w:tmpl w:val="79527F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6"/>
  </w:num>
  <w:num w:numId="5">
    <w:abstractNumId w:val="4"/>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8DB"/>
    <w:rsid w:val="86B1010F"/>
    <w:rsid w:val="8BFB70DC"/>
    <w:rsid w:val="8EBF0B7E"/>
    <w:rsid w:val="8F7D29E9"/>
    <w:rsid w:val="8FFC555E"/>
    <w:rsid w:val="971B7794"/>
    <w:rsid w:val="97D673BD"/>
    <w:rsid w:val="97FD2E31"/>
    <w:rsid w:val="9AAAE03C"/>
    <w:rsid w:val="9CCBD883"/>
    <w:rsid w:val="9D53DAEF"/>
    <w:rsid w:val="9DEF70B9"/>
    <w:rsid w:val="9F9ED2EC"/>
    <w:rsid w:val="A3B78865"/>
    <w:rsid w:val="ADFE1089"/>
    <w:rsid w:val="B7FECA88"/>
    <w:rsid w:val="BBEDD0EA"/>
    <w:rsid w:val="BE732384"/>
    <w:rsid w:val="BF76B068"/>
    <w:rsid w:val="BFDE5ED7"/>
    <w:rsid w:val="BFFF71B6"/>
    <w:rsid w:val="C5EFFB8C"/>
    <w:rsid w:val="CF9C3833"/>
    <w:rsid w:val="CF9F488E"/>
    <w:rsid w:val="CFFA258F"/>
    <w:rsid w:val="CFFD5290"/>
    <w:rsid w:val="D3C6B49C"/>
    <w:rsid w:val="D75F8A7F"/>
    <w:rsid w:val="D7F797B4"/>
    <w:rsid w:val="D8BE36F8"/>
    <w:rsid w:val="D9FA3F9D"/>
    <w:rsid w:val="DA8EDA67"/>
    <w:rsid w:val="DB770819"/>
    <w:rsid w:val="DBCFD865"/>
    <w:rsid w:val="DD934023"/>
    <w:rsid w:val="DDFFCE56"/>
    <w:rsid w:val="DEB7DE39"/>
    <w:rsid w:val="DF7F9D6B"/>
    <w:rsid w:val="DFDF73C6"/>
    <w:rsid w:val="DFFDA619"/>
    <w:rsid w:val="E12D31E4"/>
    <w:rsid w:val="E8F28B64"/>
    <w:rsid w:val="EBB75C7F"/>
    <w:rsid w:val="EBFED46F"/>
    <w:rsid w:val="ECBF1A94"/>
    <w:rsid w:val="ECFE8288"/>
    <w:rsid w:val="EE1A70D9"/>
    <w:rsid w:val="EE971084"/>
    <w:rsid w:val="EEB34DBD"/>
    <w:rsid w:val="EFAFB5D9"/>
    <w:rsid w:val="EFB75A27"/>
    <w:rsid w:val="EFBE581D"/>
    <w:rsid w:val="EFDF3A1E"/>
    <w:rsid w:val="EFF56C0D"/>
    <w:rsid w:val="EFFA0651"/>
    <w:rsid w:val="F1EE8630"/>
    <w:rsid w:val="F1F7B92B"/>
    <w:rsid w:val="F4D77CBB"/>
    <w:rsid w:val="F4FD1F1A"/>
    <w:rsid w:val="F57F91DE"/>
    <w:rsid w:val="F5EF5D4E"/>
    <w:rsid w:val="F7EA2DB9"/>
    <w:rsid w:val="F7EF912F"/>
    <w:rsid w:val="FA63ABB3"/>
    <w:rsid w:val="FB707F9B"/>
    <w:rsid w:val="FCB25B11"/>
    <w:rsid w:val="FCEA97AC"/>
    <w:rsid w:val="FDAF608C"/>
    <w:rsid w:val="FDDB1919"/>
    <w:rsid w:val="FE27FCA2"/>
    <w:rsid w:val="FE56850C"/>
    <w:rsid w:val="FE7CBF43"/>
    <w:rsid w:val="FE9A526F"/>
    <w:rsid w:val="FF3FD238"/>
    <w:rsid w:val="FF5F9544"/>
    <w:rsid w:val="FFBF2B1E"/>
    <w:rsid w:val="FFD51DC2"/>
    <w:rsid w:val="FFDA0184"/>
    <w:rsid w:val="FFEB9985"/>
    <w:rsid w:val="FFEED3AB"/>
    <w:rsid w:val="FFEF89FB"/>
    <w:rsid w:val="FFFBC25A"/>
    <w:rsid w:val="FFFE8F48"/>
    <w:rsid w:val="FFFF0C56"/>
    <w:rsid w:val="00002395"/>
    <w:rsid w:val="00002521"/>
    <w:rsid w:val="00002D60"/>
    <w:rsid w:val="00004E98"/>
    <w:rsid w:val="000052CE"/>
    <w:rsid w:val="00014C4D"/>
    <w:rsid w:val="000203CE"/>
    <w:rsid w:val="00022E82"/>
    <w:rsid w:val="00023B6E"/>
    <w:rsid w:val="00027176"/>
    <w:rsid w:val="000311F0"/>
    <w:rsid w:val="00032848"/>
    <w:rsid w:val="00035DDA"/>
    <w:rsid w:val="00040FCA"/>
    <w:rsid w:val="00042FB3"/>
    <w:rsid w:val="000477F9"/>
    <w:rsid w:val="00052291"/>
    <w:rsid w:val="00052353"/>
    <w:rsid w:val="000579A6"/>
    <w:rsid w:val="00060DD4"/>
    <w:rsid w:val="000764AC"/>
    <w:rsid w:val="000766D2"/>
    <w:rsid w:val="0007692F"/>
    <w:rsid w:val="0008599E"/>
    <w:rsid w:val="000B3481"/>
    <w:rsid w:val="000C0A5D"/>
    <w:rsid w:val="000C7CC2"/>
    <w:rsid w:val="000D08D9"/>
    <w:rsid w:val="000D5C25"/>
    <w:rsid w:val="000E4A9C"/>
    <w:rsid w:val="000E79B6"/>
    <w:rsid w:val="000E7E50"/>
    <w:rsid w:val="000F4695"/>
    <w:rsid w:val="0011160D"/>
    <w:rsid w:val="0011532A"/>
    <w:rsid w:val="0011629F"/>
    <w:rsid w:val="00121FC9"/>
    <w:rsid w:val="00123677"/>
    <w:rsid w:val="001309B2"/>
    <w:rsid w:val="00133828"/>
    <w:rsid w:val="00133A10"/>
    <w:rsid w:val="001348EC"/>
    <w:rsid w:val="00136033"/>
    <w:rsid w:val="00137311"/>
    <w:rsid w:val="00141C65"/>
    <w:rsid w:val="001478AC"/>
    <w:rsid w:val="001519E4"/>
    <w:rsid w:val="00152174"/>
    <w:rsid w:val="00156C77"/>
    <w:rsid w:val="001572AF"/>
    <w:rsid w:val="00157832"/>
    <w:rsid w:val="00161DCD"/>
    <w:rsid w:val="00164BC2"/>
    <w:rsid w:val="0017095C"/>
    <w:rsid w:val="00180C2A"/>
    <w:rsid w:val="001A1955"/>
    <w:rsid w:val="001A4DBE"/>
    <w:rsid w:val="001A6F35"/>
    <w:rsid w:val="001B0717"/>
    <w:rsid w:val="001B7BA3"/>
    <w:rsid w:val="001C0781"/>
    <w:rsid w:val="001C2BBA"/>
    <w:rsid w:val="001C5796"/>
    <w:rsid w:val="001D0387"/>
    <w:rsid w:val="001D0F3C"/>
    <w:rsid w:val="001D4BB8"/>
    <w:rsid w:val="00205C37"/>
    <w:rsid w:val="00212FF8"/>
    <w:rsid w:val="00213649"/>
    <w:rsid w:val="00213E82"/>
    <w:rsid w:val="00221199"/>
    <w:rsid w:val="00225AC9"/>
    <w:rsid w:val="00241B8D"/>
    <w:rsid w:val="0024301D"/>
    <w:rsid w:val="00245733"/>
    <w:rsid w:val="0026041C"/>
    <w:rsid w:val="00264F3E"/>
    <w:rsid w:val="00284AF9"/>
    <w:rsid w:val="00287004"/>
    <w:rsid w:val="00290041"/>
    <w:rsid w:val="00293B41"/>
    <w:rsid w:val="002A165C"/>
    <w:rsid w:val="002A2625"/>
    <w:rsid w:val="002A746C"/>
    <w:rsid w:val="002C34F7"/>
    <w:rsid w:val="002C4025"/>
    <w:rsid w:val="002D2057"/>
    <w:rsid w:val="002E0CF4"/>
    <w:rsid w:val="002E22E1"/>
    <w:rsid w:val="002E36CB"/>
    <w:rsid w:val="002F225E"/>
    <w:rsid w:val="002F7906"/>
    <w:rsid w:val="00312189"/>
    <w:rsid w:val="00312602"/>
    <w:rsid w:val="003160F7"/>
    <w:rsid w:val="00321EA2"/>
    <w:rsid w:val="00325FA9"/>
    <w:rsid w:val="0032723F"/>
    <w:rsid w:val="0033185B"/>
    <w:rsid w:val="00331C2A"/>
    <w:rsid w:val="00337525"/>
    <w:rsid w:val="003517D8"/>
    <w:rsid w:val="00356B02"/>
    <w:rsid w:val="003650DF"/>
    <w:rsid w:val="00366A62"/>
    <w:rsid w:val="00373D00"/>
    <w:rsid w:val="00374BF0"/>
    <w:rsid w:val="00376A94"/>
    <w:rsid w:val="00386A7A"/>
    <w:rsid w:val="003A4B80"/>
    <w:rsid w:val="003A6A31"/>
    <w:rsid w:val="003B4FDE"/>
    <w:rsid w:val="003C02C8"/>
    <w:rsid w:val="003C6C6F"/>
    <w:rsid w:val="003D1AB8"/>
    <w:rsid w:val="003D27AB"/>
    <w:rsid w:val="003D4DD1"/>
    <w:rsid w:val="003D7482"/>
    <w:rsid w:val="003F711C"/>
    <w:rsid w:val="00400869"/>
    <w:rsid w:val="00402BC5"/>
    <w:rsid w:val="00406AFE"/>
    <w:rsid w:val="00410C96"/>
    <w:rsid w:val="00416FCA"/>
    <w:rsid w:val="004352D9"/>
    <w:rsid w:val="00435B82"/>
    <w:rsid w:val="00440897"/>
    <w:rsid w:val="004448BA"/>
    <w:rsid w:val="0044647E"/>
    <w:rsid w:val="004466B5"/>
    <w:rsid w:val="0044756B"/>
    <w:rsid w:val="00447BAD"/>
    <w:rsid w:val="00447F85"/>
    <w:rsid w:val="00452890"/>
    <w:rsid w:val="0047336C"/>
    <w:rsid w:val="0047394B"/>
    <w:rsid w:val="004752CA"/>
    <w:rsid w:val="00477531"/>
    <w:rsid w:val="00485BFB"/>
    <w:rsid w:val="00493B8E"/>
    <w:rsid w:val="00495ECB"/>
    <w:rsid w:val="0049765B"/>
    <w:rsid w:val="00497979"/>
    <w:rsid w:val="004A6B67"/>
    <w:rsid w:val="004B1667"/>
    <w:rsid w:val="004B508D"/>
    <w:rsid w:val="004C0F30"/>
    <w:rsid w:val="004C5AA0"/>
    <w:rsid w:val="004C6E0F"/>
    <w:rsid w:val="004D1E64"/>
    <w:rsid w:val="004D556F"/>
    <w:rsid w:val="004E15A6"/>
    <w:rsid w:val="004E261E"/>
    <w:rsid w:val="004E3841"/>
    <w:rsid w:val="004F1A63"/>
    <w:rsid w:val="004F53EE"/>
    <w:rsid w:val="004F54F7"/>
    <w:rsid w:val="00504AA8"/>
    <w:rsid w:val="00513F51"/>
    <w:rsid w:val="00514490"/>
    <w:rsid w:val="0051455C"/>
    <w:rsid w:val="00532F6B"/>
    <w:rsid w:val="00533677"/>
    <w:rsid w:val="005402CB"/>
    <w:rsid w:val="00543FCE"/>
    <w:rsid w:val="00545476"/>
    <w:rsid w:val="00545AB4"/>
    <w:rsid w:val="00546438"/>
    <w:rsid w:val="00550CB0"/>
    <w:rsid w:val="00553743"/>
    <w:rsid w:val="00560B78"/>
    <w:rsid w:val="00563AC0"/>
    <w:rsid w:val="00564E98"/>
    <w:rsid w:val="0056766B"/>
    <w:rsid w:val="00572593"/>
    <w:rsid w:val="00574302"/>
    <w:rsid w:val="00576D46"/>
    <w:rsid w:val="00581212"/>
    <w:rsid w:val="005835E9"/>
    <w:rsid w:val="005937BB"/>
    <w:rsid w:val="005A14C2"/>
    <w:rsid w:val="005A57FD"/>
    <w:rsid w:val="005B1453"/>
    <w:rsid w:val="005B2FF5"/>
    <w:rsid w:val="005B436A"/>
    <w:rsid w:val="005B7BD2"/>
    <w:rsid w:val="005C6E64"/>
    <w:rsid w:val="005D07AC"/>
    <w:rsid w:val="005D341A"/>
    <w:rsid w:val="005D4C8B"/>
    <w:rsid w:val="005D4EBE"/>
    <w:rsid w:val="005E0956"/>
    <w:rsid w:val="005E359D"/>
    <w:rsid w:val="005E5CAF"/>
    <w:rsid w:val="005F21D5"/>
    <w:rsid w:val="005F4BDB"/>
    <w:rsid w:val="006075C9"/>
    <w:rsid w:val="00607933"/>
    <w:rsid w:val="00610319"/>
    <w:rsid w:val="006168B1"/>
    <w:rsid w:val="006208AE"/>
    <w:rsid w:val="00621937"/>
    <w:rsid w:val="00626F08"/>
    <w:rsid w:val="00627861"/>
    <w:rsid w:val="00635CAE"/>
    <w:rsid w:val="00645A42"/>
    <w:rsid w:val="006466DF"/>
    <w:rsid w:val="00662FB4"/>
    <w:rsid w:val="00670AAE"/>
    <w:rsid w:val="00671214"/>
    <w:rsid w:val="006823B4"/>
    <w:rsid w:val="00684835"/>
    <w:rsid w:val="006848C3"/>
    <w:rsid w:val="00696E47"/>
    <w:rsid w:val="006978B5"/>
    <w:rsid w:val="006A28A0"/>
    <w:rsid w:val="006A2F97"/>
    <w:rsid w:val="006A6288"/>
    <w:rsid w:val="006B711F"/>
    <w:rsid w:val="006B7ED0"/>
    <w:rsid w:val="006C385E"/>
    <w:rsid w:val="006C50C4"/>
    <w:rsid w:val="006D488A"/>
    <w:rsid w:val="006D4F65"/>
    <w:rsid w:val="006E0812"/>
    <w:rsid w:val="006E2BE2"/>
    <w:rsid w:val="006E51E0"/>
    <w:rsid w:val="006F65A5"/>
    <w:rsid w:val="007019A6"/>
    <w:rsid w:val="00712DA5"/>
    <w:rsid w:val="00723B67"/>
    <w:rsid w:val="007258D5"/>
    <w:rsid w:val="00725AE4"/>
    <w:rsid w:val="00737A12"/>
    <w:rsid w:val="007461E3"/>
    <w:rsid w:val="0075246F"/>
    <w:rsid w:val="007536FE"/>
    <w:rsid w:val="00754851"/>
    <w:rsid w:val="00761839"/>
    <w:rsid w:val="0076236C"/>
    <w:rsid w:val="00772438"/>
    <w:rsid w:val="007773A9"/>
    <w:rsid w:val="00782889"/>
    <w:rsid w:val="00783AE4"/>
    <w:rsid w:val="00790B76"/>
    <w:rsid w:val="007929D3"/>
    <w:rsid w:val="007A23FF"/>
    <w:rsid w:val="007A6204"/>
    <w:rsid w:val="007A62B2"/>
    <w:rsid w:val="007A7C13"/>
    <w:rsid w:val="007B2A74"/>
    <w:rsid w:val="007B4181"/>
    <w:rsid w:val="007B7379"/>
    <w:rsid w:val="007C1449"/>
    <w:rsid w:val="007C3BFA"/>
    <w:rsid w:val="007D01B5"/>
    <w:rsid w:val="007D0A2B"/>
    <w:rsid w:val="007D1F61"/>
    <w:rsid w:val="007D76C0"/>
    <w:rsid w:val="007E4355"/>
    <w:rsid w:val="007F1623"/>
    <w:rsid w:val="007F2783"/>
    <w:rsid w:val="007F57FB"/>
    <w:rsid w:val="007F7477"/>
    <w:rsid w:val="008020D8"/>
    <w:rsid w:val="008025CB"/>
    <w:rsid w:val="00802E5F"/>
    <w:rsid w:val="00804E87"/>
    <w:rsid w:val="00817856"/>
    <w:rsid w:val="00823471"/>
    <w:rsid w:val="008310B7"/>
    <w:rsid w:val="008313D5"/>
    <w:rsid w:val="00835444"/>
    <w:rsid w:val="00837388"/>
    <w:rsid w:val="00853125"/>
    <w:rsid w:val="00854834"/>
    <w:rsid w:val="008548AA"/>
    <w:rsid w:val="008552F0"/>
    <w:rsid w:val="0085535A"/>
    <w:rsid w:val="00857108"/>
    <w:rsid w:val="00861756"/>
    <w:rsid w:val="008864AA"/>
    <w:rsid w:val="008909D4"/>
    <w:rsid w:val="0089504A"/>
    <w:rsid w:val="008A2832"/>
    <w:rsid w:val="008B38D4"/>
    <w:rsid w:val="008C2A51"/>
    <w:rsid w:val="008C7075"/>
    <w:rsid w:val="008D57AE"/>
    <w:rsid w:val="008D5FFD"/>
    <w:rsid w:val="008D6AC1"/>
    <w:rsid w:val="008E09F6"/>
    <w:rsid w:val="008E1D94"/>
    <w:rsid w:val="008F406E"/>
    <w:rsid w:val="008F470D"/>
    <w:rsid w:val="008F68FB"/>
    <w:rsid w:val="009002CB"/>
    <w:rsid w:val="00906A81"/>
    <w:rsid w:val="009074C9"/>
    <w:rsid w:val="009142DE"/>
    <w:rsid w:val="0092094C"/>
    <w:rsid w:val="00920BD3"/>
    <w:rsid w:val="00934C80"/>
    <w:rsid w:val="009456E3"/>
    <w:rsid w:val="00952F6C"/>
    <w:rsid w:val="00967CCD"/>
    <w:rsid w:val="0097233B"/>
    <w:rsid w:val="00974C3C"/>
    <w:rsid w:val="00984A0D"/>
    <w:rsid w:val="009905EA"/>
    <w:rsid w:val="009A11C2"/>
    <w:rsid w:val="009B59DB"/>
    <w:rsid w:val="009B7239"/>
    <w:rsid w:val="009C0BA1"/>
    <w:rsid w:val="009C19E6"/>
    <w:rsid w:val="009D5C9D"/>
    <w:rsid w:val="009E0D35"/>
    <w:rsid w:val="009E122D"/>
    <w:rsid w:val="009E17FE"/>
    <w:rsid w:val="009E3B06"/>
    <w:rsid w:val="009E574F"/>
    <w:rsid w:val="009F5541"/>
    <w:rsid w:val="00A238B3"/>
    <w:rsid w:val="00A24D07"/>
    <w:rsid w:val="00A25D0F"/>
    <w:rsid w:val="00A274F9"/>
    <w:rsid w:val="00A2782B"/>
    <w:rsid w:val="00A3445F"/>
    <w:rsid w:val="00A46632"/>
    <w:rsid w:val="00A52FD5"/>
    <w:rsid w:val="00A5384D"/>
    <w:rsid w:val="00A646FA"/>
    <w:rsid w:val="00A64F81"/>
    <w:rsid w:val="00A65F72"/>
    <w:rsid w:val="00A666EE"/>
    <w:rsid w:val="00A708B7"/>
    <w:rsid w:val="00A7170B"/>
    <w:rsid w:val="00A75B88"/>
    <w:rsid w:val="00A81245"/>
    <w:rsid w:val="00A83C3F"/>
    <w:rsid w:val="00A86242"/>
    <w:rsid w:val="00A87DAF"/>
    <w:rsid w:val="00A92334"/>
    <w:rsid w:val="00AA5126"/>
    <w:rsid w:val="00AB0CAE"/>
    <w:rsid w:val="00AC4E66"/>
    <w:rsid w:val="00AE25CF"/>
    <w:rsid w:val="00AE33D1"/>
    <w:rsid w:val="00AF6CE6"/>
    <w:rsid w:val="00B119D1"/>
    <w:rsid w:val="00B14BD8"/>
    <w:rsid w:val="00B20E47"/>
    <w:rsid w:val="00B2618B"/>
    <w:rsid w:val="00B324EB"/>
    <w:rsid w:val="00B34AF4"/>
    <w:rsid w:val="00B35423"/>
    <w:rsid w:val="00B35D23"/>
    <w:rsid w:val="00B363DD"/>
    <w:rsid w:val="00B37BC4"/>
    <w:rsid w:val="00B451F8"/>
    <w:rsid w:val="00B45F3B"/>
    <w:rsid w:val="00B508A2"/>
    <w:rsid w:val="00B50C80"/>
    <w:rsid w:val="00B52454"/>
    <w:rsid w:val="00B53EB0"/>
    <w:rsid w:val="00B5615E"/>
    <w:rsid w:val="00B621DF"/>
    <w:rsid w:val="00B64A5B"/>
    <w:rsid w:val="00B71A2C"/>
    <w:rsid w:val="00B72B3B"/>
    <w:rsid w:val="00B80656"/>
    <w:rsid w:val="00B83DAC"/>
    <w:rsid w:val="00B8446B"/>
    <w:rsid w:val="00B84A52"/>
    <w:rsid w:val="00B87F49"/>
    <w:rsid w:val="00B91923"/>
    <w:rsid w:val="00B93F0D"/>
    <w:rsid w:val="00B9637A"/>
    <w:rsid w:val="00B96DEE"/>
    <w:rsid w:val="00BA7CE8"/>
    <w:rsid w:val="00BB18BE"/>
    <w:rsid w:val="00BB541A"/>
    <w:rsid w:val="00BB5D4E"/>
    <w:rsid w:val="00BC5835"/>
    <w:rsid w:val="00BD75F2"/>
    <w:rsid w:val="00BE2A73"/>
    <w:rsid w:val="00BF0535"/>
    <w:rsid w:val="00BF5C1F"/>
    <w:rsid w:val="00C02984"/>
    <w:rsid w:val="00C13F10"/>
    <w:rsid w:val="00C14357"/>
    <w:rsid w:val="00C173CB"/>
    <w:rsid w:val="00C27BC6"/>
    <w:rsid w:val="00C33233"/>
    <w:rsid w:val="00C3401D"/>
    <w:rsid w:val="00C34990"/>
    <w:rsid w:val="00C36532"/>
    <w:rsid w:val="00C40A80"/>
    <w:rsid w:val="00C419D2"/>
    <w:rsid w:val="00C44339"/>
    <w:rsid w:val="00C449FB"/>
    <w:rsid w:val="00C640ED"/>
    <w:rsid w:val="00C72645"/>
    <w:rsid w:val="00C77CF6"/>
    <w:rsid w:val="00C86379"/>
    <w:rsid w:val="00C86743"/>
    <w:rsid w:val="00C86A9A"/>
    <w:rsid w:val="00C876CA"/>
    <w:rsid w:val="00C91149"/>
    <w:rsid w:val="00C912DE"/>
    <w:rsid w:val="00C958BC"/>
    <w:rsid w:val="00CA191A"/>
    <w:rsid w:val="00CA3268"/>
    <w:rsid w:val="00CB0F1E"/>
    <w:rsid w:val="00CB2CC3"/>
    <w:rsid w:val="00CB3C9F"/>
    <w:rsid w:val="00CB77F0"/>
    <w:rsid w:val="00CC244A"/>
    <w:rsid w:val="00CC6DA7"/>
    <w:rsid w:val="00CC741B"/>
    <w:rsid w:val="00CD36A1"/>
    <w:rsid w:val="00CD6CEB"/>
    <w:rsid w:val="00CD6FAA"/>
    <w:rsid w:val="00CE380E"/>
    <w:rsid w:val="00CE462F"/>
    <w:rsid w:val="00CF3A99"/>
    <w:rsid w:val="00CF69AB"/>
    <w:rsid w:val="00CF7FB3"/>
    <w:rsid w:val="00D016C6"/>
    <w:rsid w:val="00D02E28"/>
    <w:rsid w:val="00D06BC5"/>
    <w:rsid w:val="00D0745B"/>
    <w:rsid w:val="00D14DF8"/>
    <w:rsid w:val="00D22868"/>
    <w:rsid w:val="00D250B5"/>
    <w:rsid w:val="00D263F0"/>
    <w:rsid w:val="00D30DDD"/>
    <w:rsid w:val="00D35653"/>
    <w:rsid w:val="00D42B49"/>
    <w:rsid w:val="00D44A1F"/>
    <w:rsid w:val="00D47D69"/>
    <w:rsid w:val="00D57144"/>
    <w:rsid w:val="00D61A2D"/>
    <w:rsid w:val="00D66CB3"/>
    <w:rsid w:val="00D70732"/>
    <w:rsid w:val="00D73884"/>
    <w:rsid w:val="00D76390"/>
    <w:rsid w:val="00D812F9"/>
    <w:rsid w:val="00D91DD1"/>
    <w:rsid w:val="00D975F4"/>
    <w:rsid w:val="00D97AA9"/>
    <w:rsid w:val="00DA1244"/>
    <w:rsid w:val="00DA7006"/>
    <w:rsid w:val="00DB1A8F"/>
    <w:rsid w:val="00DB69F3"/>
    <w:rsid w:val="00DC578C"/>
    <w:rsid w:val="00DD17CB"/>
    <w:rsid w:val="00DD7DBF"/>
    <w:rsid w:val="00DE7F13"/>
    <w:rsid w:val="00E01BF7"/>
    <w:rsid w:val="00E20E4F"/>
    <w:rsid w:val="00E2248B"/>
    <w:rsid w:val="00E2666B"/>
    <w:rsid w:val="00E43501"/>
    <w:rsid w:val="00E51FC2"/>
    <w:rsid w:val="00E55923"/>
    <w:rsid w:val="00E56C0B"/>
    <w:rsid w:val="00E66526"/>
    <w:rsid w:val="00E8450C"/>
    <w:rsid w:val="00E84B4B"/>
    <w:rsid w:val="00E84D2A"/>
    <w:rsid w:val="00E94BE2"/>
    <w:rsid w:val="00EA2911"/>
    <w:rsid w:val="00EA49DD"/>
    <w:rsid w:val="00EA6F2A"/>
    <w:rsid w:val="00EA77AF"/>
    <w:rsid w:val="00EB2063"/>
    <w:rsid w:val="00EC6446"/>
    <w:rsid w:val="00EC705B"/>
    <w:rsid w:val="00ED45E7"/>
    <w:rsid w:val="00ED5562"/>
    <w:rsid w:val="00EE44A0"/>
    <w:rsid w:val="00EE5B2C"/>
    <w:rsid w:val="00EF1B3F"/>
    <w:rsid w:val="00EF26B0"/>
    <w:rsid w:val="00EF28DB"/>
    <w:rsid w:val="00EF4CD3"/>
    <w:rsid w:val="00F11357"/>
    <w:rsid w:val="00F178F0"/>
    <w:rsid w:val="00F21352"/>
    <w:rsid w:val="00F21CDE"/>
    <w:rsid w:val="00F3327D"/>
    <w:rsid w:val="00F35004"/>
    <w:rsid w:val="00F403D4"/>
    <w:rsid w:val="00F40C2A"/>
    <w:rsid w:val="00F4410B"/>
    <w:rsid w:val="00F45CDB"/>
    <w:rsid w:val="00F47EC1"/>
    <w:rsid w:val="00F51A4B"/>
    <w:rsid w:val="00F605B3"/>
    <w:rsid w:val="00F60C62"/>
    <w:rsid w:val="00F77997"/>
    <w:rsid w:val="00F84050"/>
    <w:rsid w:val="00F86FD7"/>
    <w:rsid w:val="00F90056"/>
    <w:rsid w:val="00F92936"/>
    <w:rsid w:val="00F93982"/>
    <w:rsid w:val="00F97743"/>
    <w:rsid w:val="00FA0142"/>
    <w:rsid w:val="00FA0CC3"/>
    <w:rsid w:val="00FA10F4"/>
    <w:rsid w:val="00FA2AAF"/>
    <w:rsid w:val="00FA442A"/>
    <w:rsid w:val="00FB03D3"/>
    <w:rsid w:val="00FC2383"/>
    <w:rsid w:val="00FD18F0"/>
    <w:rsid w:val="00FD3F77"/>
    <w:rsid w:val="00FD452F"/>
    <w:rsid w:val="00FF0E73"/>
    <w:rsid w:val="00FF4241"/>
    <w:rsid w:val="00FF5C7C"/>
    <w:rsid w:val="05CC0E93"/>
    <w:rsid w:val="09D678FF"/>
    <w:rsid w:val="0FFC2284"/>
    <w:rsid w:val="15FF765A"/>
    <w:rsid w:val="19F9A3FC"/>
    <w:rsid w:val="1A9B26E3"/>
    <w:rsid w:val="1BF97BCA"/>
    <w:rsid w:val="1EABAF3A"/>
    <w:rsid w:val="1FFE4B14"/>
    <w:rsid w:val="207F634B"/>
    <w:rsid w:val="21EF332E"/>
    <w:rsid w:val="23DEE34A"/>
    <w:rsid w:val="25BF1D8D"/>
    <w:rsid w:val="2DB1FD0C"/>
    <w:rsid w:val="35987B7B"/>
    <w:rsid w:val="379FCE77"/>
    <w:rsid w:val="37E63CCB"/>
    <w:rsid w:val="37FF9B55"/>
    <w:rsid w:val="392F592F"/>
    <w:rsid w:val="398DFAA4"/>
    <w:rsid w:val="3AFF932B"/>
    <w:rsid w:val="3B7B4451"/>
    <w:rsid w:val="3BE49CEF"/>
    <w:rsid w:val="3D9F1F22"/>
    <w:rsid w:val="3F3B7B07"/>
    <w:rsid w:val="3F7B68A4"/>
    <w:rsid w:val="3F9600CF"/>
    <w:rsid w:val="3FCFCD92"/>
    <w:rsid w:val="3FEB1704"/>
    <w:rsid w:val="3FF1FA79"/>
    <w:rsid w:val="486F12D1"/>
    <w:rsid w:val="4B7FDCA9"/>
    <w:rsid w:val="51313278"/>
    <w:rsid w:val="59793F32"/>
    <w:rsid w:val="5A89352D"/>
    <w:rsid w:val="5AD533DA"/>
    <w:rsid w:val="5B3A71B7"/>
    <w:rsid w:val="5BA39BE9"/>
    <w:rsid w:val="5BF7454F"/>
    <w:rsid w:val="5CBF95C2"/>
    <w:rsid w:val="5DBA981C"/>
    <w:rsid w:val="5DF1B92C"/>
    <w:rsid w:val="5E7DB347"/>
    <w:rsid w:val="5F5E6939"/>
    <w:rsid w:val="5FAA0E43"/>
    <w:rsid w:val="5FB7BCE1"/>
    <w:rsid w:val="5FBB8474"/>
    <w:rsid w:val="5FFF0062"/>
    <w:rsid w:val="5FFF4054"/>
    <w:rsid w:val="62712D28"/>
    <w:rsid w:val="67FF46D1"/>
    <w:rsid w:val="69375E2A"/>
    <w:rsid w:val="693ED441"/>
    <w:rsid w:val="6B7EEF8A"/>
    <w:rsid w:val="6BDF275C"/>
    <w:rsid w:val="6C3F0D12"/>
    <w:rsid w:val="6DEEE271"/>
    <w:rsid w:val="6E3F0E37"/>
    <w:rsid w:val="6F6D4A3B"/>
    <w:rsid w:val="6FEF1997"/>
    <w:rsid w:val="6FF48388"/>
    <w:rsid w:val="6FFFCE59"/>
    <w:rsid w:val="71DE7696"/>
    <w:rsid w:val="71DF4D1B"/>
    <w:rsid w:val="73FD3115"/>
    <w:rsid w:val="74295075"/>
    <w:rsid w:val="7568B75D"/>
    <w:rsid w:val="75FF3A1C"/>
    <w:rsid w:val="76EB24E9"/>
    <w:rsid w:val="77F7714D"/>
    <w:rsid w:val="77FDD0BD"/>
    <w:rsid w:val="79C7B6FC"/>
    <w:rsid w:val="7ADD97CD"/>
    <w:rsid w:val="7B292256"/>
    <w:rsid w:val="7B7EC6EB"/>
    <w:rsid w:val="7BB7979B"/>
    <w:rsid w:val="7BED21C6"/>
    <w:rsid w:val="7BFD4A00"/>
    <w:rsid w:val="7BFF3531"/>
    <w:rsid w:val="7BFF844A"/>
    <w:rsid w:val="7C1D405B"/>
    <w:rsid w:val="7CB73B35"/>
    <w:rsid w:val="7CEB25FA"/>
    <w:rsid w:val="7D1BAFD3"/>
    <w:rsid w:val="7D6A477C"/>
    <w:rsid w:val="7D77619F"/>
    <w:rsid w:val="7D7BBB63"/>
    <w:rsid w:val="7DA79615"/>
    <w:rsid w:val="7DA7A864"/>
    <w:rsid w:val="7DBBF664"/>
    <w:rsid w:val="7DFD4710"/>
    <w:rsid w:val="7E2CBF83"/>
    <w:rsid w:val="7E6AD426"/>
    <w:rsid w:val="7EDFCB31"/>
    <w:rsid w:val="7F53DD37"/>
    <w:rsid w:val="7F7F3D15"/>
    <w:rsid w:val="7F7FEBA0"/>
    <w:rsid w:val="7F97A91E"/>
    <w:rsid w:val="7FB76A2C"/>
    <w:rsid w:val="7FEB7A28"/>
    <w:rsid w:val="7FF50676"/>
    <w:rsid w:val="7FF752D5"/>
    <w:rsid w:val="7FFF1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A8CBBB-3F16-4569-947A-B0EC5C29F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等线"/>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en-GB"/>
    </w:rPr>
  </w:style>
  <w:style w:type="paragraph" w:styleId="2">
    <w:name w:val="heading 2"/>
    <w:basedOn w:val="a"/>
    <w:next w:val="a"/>
    <w:link w:val="20"/>
    <w:uiPriority w:val="9"/>
    <w:unhideWhenUsed/>
    <w:qFormat/>
    <w:pPr>
      <w:keepNext/>
      <w:keepLines/>
      <w:spacing w:before="260" w:after="260" w:line="416" w:lineRule="auto"/>
      <w:jc w:val="both"/>
      <w:outlineLvl w:val="1"/>
    </w:pPr>
    <w:rPr>
      <w:rFonts w:ascii="Arial" w:eastAsia="等线 Light" w:hAnsi="Arial" w:cs="宋体"/>
      <w:bCs/>
      <w:sz w:val="32"/>
      <w:szCs w:val="32"/>
    </w:rPr>
  </w:style>
  <w:style w:type="paragraph" w:styleId="3">
    <w:name w:val="heading 3"/>
    <w:basedOn w:val="2"/>
    <w:next w:val="a"/>
    <w:link w:val="30"/>
    <w:uiPriority w:val="9"/>
    <w:unhideWhenUsed/>
    <w:qFormat/>
    <w:pPr>
      <w:spacing w:before="120" w:after="180" w:line="240" w:lineRule="auto"/>
      <w:ind w:left="1134" w:hanging="1134"/>
      <w:jc w:val="left"/>
      <w:outlineLvl w:val="2"/>
    </w:pPr>
    <w:rPr>
      <w:rFonts w:eastAsia="等线" w:cs="Times New Roman"/>
      <w:bCs w:val="0"/>
      <w:sz w:val="28"/>
      <w:szCs w:val="20"/>
    </w:rPr>
  </w:style>
  <w:style w:type="paragraph" w:styleId="4">
    <w:name w:val="heading 4"/>
    <w:basedOn w:val="a"/>
    <w:next w:val="a"/>
    <w:uiPriority w:val="9"/>
    <w:unhideWhenUsed/>
    <w:qFormat/>
    <w:pPr>
      <w:spacing w:beforeAutospacing="1" w:after="0" w:afterAutospacing="1"/>
      <w:outlineLvl w:val="3"/>
    </w:pPr>
    <w:rPr>
      <w:rFonts w:ascii="Arial" w:eastAsia="宋体" w:hAnsi="Arial"/>
      <w:bCs/>
      <w:sz w:val="24"/>
      <w:szCs w:val="24"/>
      <w:lang w:val="en-US" w:eastAsia="zh-CN"/>
    </w:rPr>
  </w:style>
  <w:style w:type="paragraph" w:styleId="8">
    <w:name w:val="heading 8"/>
    <w:basedOn w:val="1"/>
    <w:next w:val="a"/>
    <w:link w:val="80"/>
    <w:qFormat/>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spacing w:before="120" w:after="120"/>
    </w:pPr>
    <w:rPr>
      <w:rFonts w:eastAsia="宋体"/>
      <w:b/>
      <w:bCs/>
      <w:lang w:val="en-US" w:eastAsia="en-US"/>
    </w:rPr>
  </w:style>
  <w:style w:type="paragraph" w:styleId="a5">
    <w:name w:val="annotation text"/>
    <w:basedOn w:val="a"/>
    <w:link w:val="a6"/>
    <w:uiPriority w:val="99"/>
    <w:qFormat/>
    <w:pPr>
      <w:spacing w:before="100" w:beforeAutospacing="1"/>
    </w:pPr>
    <w:rPr>
      <w:lang w:val="en-US" w:eastAsia="zh-CN"/>
    </w:rPr>
  </w:style>
  <w:style w:type="paragraph" w:styleId="a7">
    <w:name w:val="Body Text"/>
    <w:basedOn w:val="a"/>
    <w:uiPriority w:val="99"/>
    <w:semiHidden/>
    <w:unhideWhenUsed/>
    <w:qFormat/>
    <w:pPr>
      <w:spacing w:after="120"/>
    </w:pPr>
  </w:style>
  <w:style w:type="paragraph" w:styleId="a8">
    <w:name w:val="Balloon Text"/>
    <w:basedOn w:val="a"/>
    <w:link w:val="a9"/>
    <w:uiPriority w:val="99"/>
    <w:qFormat/>
    <w:pPr>
      <w:spacing w:after="0"/>
    </w:pPr>
    <w:rPr>
      <w:sz w:val="18"/>
      <w:szCs w:val="18"/>
    </w:rPr>
  </w:style>
  <w:style w:type="paragraph" w:styleId="aa">
    <w:name w:val="footer"/>
    <w:basedOn w:val="ab"/>
    <w:link w:val="ac"/>
    <w:qFormat/>
    <w:pPr>
      <w:widowControl w:val="0"/>
      <w:pBdr>
        <w:bottom w:val="none" w:sz="0" w:space="0" w:color="auto"/>
      </w:pBdr>
      <w:snapToGrid/>
      <w:spacing w:after="0"/>
    </w:pPr>
    <w:rPr>
      <w:rFonts w:ascii="Arial" w:hAnsi="Arial"/>
      <w:b/>
      <w:i/>
      <w:szCs w:val="20"/>
    </w:rPr>
  </w:style>
  <w:style w:type="paragraph" w:styleId="ab">
    <w:name w:val="header"/>
    <w:basedOn w:val="a"/>
    <w:link w:val="ad"/>
    <w:uiPriority w:val="99"/>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semiHidden/>
    <w:unhideWhenUsed/>
    <w:qFormat/>
    <w:rPr>
      <w:sz w:val="24"/>
      <w:szCs w:val="24"/>
    </w:rPr>
  </w:style>
  <w:style w:type="paragraph" w:styleId="af">
    <w:name w:val="annotation subject"/>
    <w:basedOn w:val="a5"/>
    <w:next w:val="a5"/>
    <w:link w:val="af0"/>
    <w:uiPriority w:val="99"/>
    <w:qFormat/>
    <w:pPr>
      <w:spacing w:before="0" w:beforeAutospacing="0"/>
    </w:pPr>
    <w:rPr>
      <w:b/>
      <w:bCs/>
      <w:lang w:val="en-GB" w:eastAsia="en-GB"/>
    </w:rPr>
  </w:style>
  <w:style w:type="table" w:styleId="af1">
    <w:name w:val="Table Grid"/>
    <w:basedOn w:val="a1"/>
    <w:uiPriority w:val="39"/>
    <w:qFormat/>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Hyperlink"/>
    <w:qFormat/>
    <w:rPr>
      <w:color w:val="0000FF"/>
      <w:u w:val="single"/>
    </w:rPr>
  </w:style>
  <w:style w:type="character" w:styleId="af4">
    <w:name w:val="annotation reference"/>
    <w:basedOn w:val="a0"/>
    <w:uiPriority w:val="99"/>
    <w:qFormat/>
    <w:rPr>
      <w:sz w:val="21"/>
      <w:szCs w:val="21"/>
    </w:rPr>
  </w:style>
  <w:style w:type="character" w:customStyle="1" w:styleId="10">
    <w:name w:val="标题 1 字符"/>
    <w:basedOn w:val="a0"/>
    <w:link w:val="1"/>
    <w:qFormat/>
    <w:rPr>
      <w:rFonts w:ascii="Arial" w:hAnsi="Arial" w:cs="Times New Roman"/>
      <w:kern w:val="0"/>
      <w:sz w:val="36"/>
      <w:szCs w:val="20"/>
      <w:lang w:val="en-GB" w:eastAsia="en-GB"/>
    </w:rPr>
  </w:style>
  <w:style w:type="character" w:customStyle="1" w:styleId="30">
    <w:name w:val="标题 3 字符"/>
    <w:basedOn w:val="a0"/>
    <w:link w:val="3"/>
    <w:qFormat/>
    <w:rPr>
      <w:rFonts w:ascii="Arial" w:eastAsia="等线" w:hAnsi="Arial" w:cs="Times New Roman"/>
      <w:kern w:val="0"/>
      <w:sz w:val="28"/>
      <w:szCs w:val="20"/>
      <w:lang w:val="en-GB" w:eastAsia="en-GB"/>
    </w:rPr>
  </w:style>
  <w:style w:type="character" w:customStyle="1" w:styleId="80">
    <w:name w:val="标题 8 字符"/>
    <w:basedOn w:val="a0"/>
    <w:link w:val="8"/>
    <w:qFormat/>
    <w:rPr>
      <w:rFonts w:ascii="Arial" w:hAnsi="Arial" w:cs="Times New Roman"/>
      <w:kern w:val="0"/>
      <w:sz w:val="36"/>
      <w:szCs w:val="20"/>
      <w:lang w:val="en-GB" w:eastAsia="en-GB"/>
    </w:r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CRCoverPage">
    <w:name w:val="CR Cover Page"/>
    <w:qFormat/>
    <w:pPr>
      <w:spacing w:after="120"/>
    </w:pPr>
    <w:rPr>
      <w:rFonts w:ascii="Arial" w:eastAsia="等线" w:hAnsi="Arial"/>
      <w:lang w:val="en-GB" w:eastAsia="en-US"/>
    </w:rPr>
  </w:style>
  <w:style w:type="paragraph" w:customStyle="1" w:styleId="NO">
    <w:name w:val="NO"/>
    <w:basedOn w:val="a"/>
    <w:qFormat/>
    <w:pPr>
      <w:keepLines/>
      <w:ind w:left="1135" w:hanging="851"/>
    </w:pPr>
  </w:style>
  <w:style w:type="character" w:customStyle="1" w:styleId="ac">
    <w:name w:val="页脚 字符"/>
    <w:basedOn w:val="a0"/>
    <w:link w:val="aa"/>
    <w:qFormat/>
    <w:rPr>
      <w:rFonts w:ascii="Arial" w:hAnsi="Arial" w:cs="Times New Roman"/>
      <w:b/>
      <w:i/>
      <w:kern w:val="0"/>
      <w:sz w:val="18"/>
      <w:szCs w:val="20"/>
      <w:lang w:val="en-GB" w:eastAsia="en-GB"/>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qFormat/>
    <w:rPr>
      <w:i/>
      <w:color w:val="000000"/>
      <w:lang w:eastAsia="ja-JP"/>
    </w:rPr>
  </w:style>
  <w:style w:type="paragraph" w:styleId="af5">
    <w:name w:val="List Paragraph"/>
    <w:basedOn w:val="a"/>
    <w:link w:val="af6"/>
    <w:uiPriority w:val="34"/>
    <w:qFormat/>
    <w:pPr>
      <w:ind w:left="720"/>
      <w:contextualSpacing/>
    </w:pPr>
    <w:rPr>
      <w:rFonts w:eastAsia="宋体"/>
      <w:lang w:eastAsia="en-US"/>
    </w:rPr>
  </w:style>
  <w:style w:type="character" w:customStyle="1" w:styleId="af6">
    <w:name w:val="列表段落 字符"/>
    <w:link w:val="af5"/>
    <w:uiPriority w:val="34"/>
    <w:qFormat/>
    <w:rPr>
      <w:rFonts w:ascii="Times New Roman" w:eastAsia="宋体" w:hAnsi="Times New Roman" w:cs="Times New Roman"/>
      <w:kern w:val="0"/>
      <w:sz w:val="20"/>
      <w:szCs w:val="20"/>
      <w:lang w:val="en-GB" w:eastAsia="en-US"/>
    </w:rPr>
  </w:style>
  <w:style w:type="character" w:customStyle="1" w:styleId="20">
    <w:name w:val="标题 2 字符"/>
    <w:basedOn w:val="a0"/>
    <w:link w:val="2"/>
    <w:uiPriority w:val="9"/>
    <w:qFormat/>
    <w:rPr>
      <w:rFonts w:ascii="Arial" w:eastAsia="等线 Light" w:hAnsi="Arial" w:cs="宋体"/>
      <w:bCs/>
      <w:kern w:val="0"/>
      <w:sz w:val="32"/>
      <w:szCs w:val="32"/>
      <w:lang w:val="en-GB" w:eastAsia="en-GB"/>
    </w:rPr>
  </w:style>
  <w:style w:type="character" w:customStyle="1" w:styleId="ad">
    <w:name w:val="页眉 字符"/>
    <w:basedOn w:val="a0"/>
    <w:link w:val="ab"/>
    <w:uiPriority w:val="99"/>
    <w:qFormat/>
    <w:rPr>
      <w:rFonts w:ascii="Times New Roman" w:hAnsi="Times New Roman" w:cs="Times New Roman"/>
      <w:kern w:val="0"/>
      <w:sz w:val="18"/>
      <w:szCs w:val="18"/>
      <w:lang w:val="en-GB" w:eastAsia="en-GB"/>
    </w:rPr>
  </w:style>
  <w:style w:type="character" w:customStyle="1" w:styleId="a9">
    <w:name w:val="批注框文本 字符"/>
    <w:basedOn w:val="a0"/>
    <w:link w:val="a8"/>
    <w:uiPriority w:val="99"/>
    <w:qFormat/>
    <w:rPr>
      <w:rFonts w:ascii="Times New Roman" w:hAnsi="Times New Roman" w:cs="Times New Roman"/>
      <w:kern w:val="0"/>
      <w:sz w:val="18"/>
      <w:szCs w:val="18"/>
      <w:lang w:val="en-GB" w:eastAsia="en-GB"/>
    </w:rPr>
  </w:style>
  <w:style w:type="character" w:styleId="af7">
    <w:name w:val="Placeholder Text"/>
    <w:basedOn w:val="a0"/>
    <w:uiPriority w:val="99"/>
    <w:qFormat/>
    <w:rPr>
      <w:color w:val="808080"/>
    </w:rPr>
  </w:style>
  <w:style w:type="character" w:customStyle="1" w:styleId="a6">
    <w:name w:val="批注文字 字符"/>
    <w:basedOn w:val="a0"/>
    <w:link w:val="a5"/>
    <w:uiPriority w:val="99"/>
    <w:qFormat/>
    <w:rPr>
      <w:rFonts w:ascii="Times New Roman" w:eastAsia="等线" w:hAnsi="Times New Roman" w:cs="Times New Roman"/>
      <w:kern w:val="0"/>
      <w:sz w:val="20"/>
      <w:szCs w:val="20"/>
    </w:rPr>
  </w:style>
  <w:style w:type="character" w:customStyle="1" w:styleId="af0">
    <w:name w:val="批注主题 字符"/>
    <w:basedOn w:val="a6"/>
    <w:link w:val="af"/>
    <w:uiPriority w:val="99"/>
    <w:qFormat/>
    <w:rPr>
      <w:rFonts w:ascii="Times New Roman" w:eastAsia="等线" w:hAnsi="Times New Roman" w:cs="Times New Roman"/>
      <w:b/>
      <w:bCs/>
      <w:kern w:val="0"/>
      <w:sz w:val="20"/>
      <w:szCs w:val="20"/>
      <w:lang w:val="en-GB" w:eastAsia="en-GB"/>
    </w:rPr>
  </w:style>
  <w:style w:type="paragraph" w:customStyle="1" w:styleId="11">
    <w:name w:val="修订1"/>
    <w:hidden/>
    <w:uiPriority w:val="99"/>
    <w:semiHidden/>
    <w:qFormat/>
    <w:rPr>
      <w:rFonts w:eastAsia="等线"/>
      <w:lang w:val="en-GB" w:eastAsia="en-GB"/>
    </w:r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character" w:customStyle="1" w:styleId="a4">
    <w:name w:val="题注 字符"/>
    <w:link w:val="a3"/>
    <w:uiPriority w:val="35"/>
    <w:qFormat/>
    <w:rPr>
      <w:rFonts w:ascii="Times New Roman" w:eastAsia="宋体" w:hAnsi="Times New Roman" w:cs="Times New Roman"/>
      <w:b/>
      <w:bCs/>
      <w:lang w:eastAsia="en-US"/>
    </w:rPr>
  </w:style>
  <w:style w:type="paragraph" w:customStyle="1" w:styleId="3GPPHeader">
    <w:name w:val="3GPP_Header"/>
    <w:basedOn w:val="a7"/>
    <w:qFormat/>
    <w:pPr>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1777</Words>
  <Characters>10134</Characters>
  <Application>Microsoft Office Word</Application>
  <DocSecurity>0</DocSecurity>
  <Lines>84</Lines>
  <Paragraphs>23</Paragraphs>
  <ScaleCrop>false</ScaleCrop>
  <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徐胤</cp:lastModifiedBy>
  <cp:revision>75</cp:revision>
  <dcterms:created xsi:type="dcterms:W3CDTF">2025-05-26T20:27:00Z</dcterms:created>
  <dcterms:modified xsi:type="dcterms:W3CDTF">2025-10-03T14:07:00Z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2052-6.14.0.8924</vt:lpwstr>
  </property>
  <property fmtid="{D5CDD505-2E9C-101B-9397-08002B2CF9AE}" pid="3" name="ICV">
    <vt:lpwstr>8076A5F7DF547A9A1ED6DF689C974FD9_43</vt:lpwstr>
  </property>
  <property fmtid="{D5CDD505-2E9C-101B-9397-08002B2CF9AE}" pid="4" name="GrammarlyDocumentId">
    <vt:lpwstr>6b65e349b95f7720201826d41875a094a103b60422436ee4757b37e62f422068</vt:lpwstr>
  </property>
  <property fmtid="{D5CDD505-2E9C-101B-9397-08002B2CF9AE}" pid="5" name="KSOTemplateDocerSaveRecord">
    <vt:lpwstr>eyJoZGlkIjoiNzc0Y2M5ZGU0NGEzZGM1NmUxMDk0NmRlZWQ1ODdmNTQiLCJ1c2VySWQiOiIxNzE0MDY3MjcxIn0=</vt:lpwstr>
  </property>
</Properties>
</file>